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pPr>
    </w:p>
    <w:p>
      <w:pPr>
        <w:pStyle w:val="2"/>
        <w:jc w:val="center"/>
        <w:rPr>
          <w:sz w:val="28"/>
          <w:szCs w:val="18"/>
        </w:rPr>
      </w:pPr>
      <w:r>
        <w:rPr>
          <w:rFonts w:hint="eastAsia"/>
          <w:sz w:val="28"/>
          <w:szCs w:val="18"/>
        </w:rPr>
        <w:t>2024年欧泰贡（广东）食品有限公司珠三角地区运输业务招标</w:t>
      </w:r>
    </w:p>
    <w:p>
      <w:pPr>
        <w:spacing w:line="440" w:lineRule="exact"/>
        <w:ind w:firstLine="480" w:firstLineChars="200"/>
        <w:rPr>
          <w:rFonts w:ascii="宋体" w:hAnsi="宋体" w:eastAsia="宋体" w:cs="宋体"/>
          <w:sz w:val="24"/>
        </w:rPr>
      </w:pPr>
      <w:r>
        <w:rPr>
          <w:rFonts w:ascii="宋体" w:hAnsi="宋体" w:eastAsia="宋体" w:cs="宋体"/>
          <w:sz w:val="24"/>
        </w:rPr>
        <w:t>欧泰贡（广东）食品有限公司创建于2015年，2018年发展成为中国最大巴沙鱼供应商之一，2022年在国内建立研发生产基地欧泰贡（珠海）食品科技有限公司，是一家集研发、加工、生产、销售为一体的综合性企业。 </w:t>
      </w:r>
      <w:r>
        <w:rPr>
          <w:rFonts w:ascii="宋体" w:hAnsi="宋体" w:eastAsia="宋体" w:cs="宋体"/>
          <w:sz w:val="24"/>
        </w:rPr>
        <w:br w:type="textWrapping"/>
      </w:r>
      <w:r>
        <w:rPr>
          <w:rFonts w:hint="eastAsia" w:ascii="宋体" w:hAnsi="宋体" w:eastAsia="宋体" w:cs="宋体"/>
          <w:sz w:val="24"/>
        </w:rPr>
        <w:t xml:space="preserve">  </w:t>
      </w:r>
      <w:r>
        <w:rPr>
          <w:rFonts w:ascii="宋体" w:hAnsi="宋体" w:eastAsia="宋体" w:cs="宋体"/>
          <w:sz w:val="24"/>
        </w:rPr>
        <w:t>欧泰贡主营巴沙鱼系列产品，拥有巴沙鱼、清江鱼（斑点叉尾鮰）、黑鱼、黑虎虾、南美白虾等水产品以及蔬果零食、保健食品等多元化的产品结构。 </w:t>
      </w:r>
    </w:p>
    <w:p>
      <w:pPr>
        <w:spacing w:line="440" w:lineRule="exact"/>
        <w:ind w:firstLine="480" w:firstLineChars="200"/>
        <w:rPr>
          <w:rFonts w:ascii="宋体" w:hAnsi="宋体" w:eastAsia="宋体" w:cs="宋体"/>
          <w:sz w:val="24"/>
        </w:rPr>
      </w:pPr>
      <w:r>
        <w:rPr>
          <w:rFonts w:hint="eastAsia" w:ascii="宋体" w:hAnsi="宋体" w:eastAsia="宋体" w:cs="宋体"/>
          <w:sz w:val="24"/>
        </w:rPr>
        <w:t>根据我司业务发展需要，本着“公平、公正、公开、透明”的原则，计划对珠三角地区2024年物流配送业务进行公开招标，竭诚欢</w:t>
      </w:r>
      <w:r>
        <w:rPr>
          <w:rFonts w:hint="eastAsia" w:ascii="宋体" w:hAnsi="宋体" w:eastAsia="宋体" w:cs="宋体"/>
          <w:sz w:val="24"/>
          <w:lang w:eastAsia="zh-Hans"/>
        </w:rPr>
        <w:t>迎</w:t>
      </w:r>
      <w:r>
        <w:rPr>
          <w:rFonts w:hint="eastAsia" w:ascii="宋体" w:hAnsi="宋体" w:eastAsia="宋体" w:cs="宋体"/>
          <w:sz w:val="24"/>
        </w:rPr>
        <w:t>符合要求的承运商参与。</w:t>
      </w:r>
    </w:p>
    <w:p>
      <w:pPr>
        <w:rPr>
          <w:rFonts w:ascii="宋体" w:hAnsi="宋体" w:eastAsia="宋体" w:cs="宋体"/>
          <w:sz w:val="24"/>
        </w:rPr>
      </w:pPr>
    </w:p>
    <w:p>
      <w:pPr>
        <w:rPr>
          <w:rFonts w:ascii="宋体" w:hAnsi="宋体" w:eastAsia="宋体" w:cs="宋体"/>
          <w:sz w:val="24"/>
        </w:rPr>
      </w:pPr>
    </w:p>
    <w:p>
      <w:pPr>
        <w:numPr>
          <w:ilvl w:val="0"/>
          <w:numId w:val="1"/>
        </w:numPr>
        <w:spacing w:line="440" w:lineRule="exact"/>
        <w:rPr>
          <w:rFonts w:asciiTheme="minorEastAsia" w:hAnsiTheme="minorEastAsia" w:cstheme="minorEastAsia"/>
          <w:sz w:val="24"/>
        </w:rPr>
      </w:pPr>
      <w:r>
        <w:rPr>
          <w:rFonts w:hint="eastAsia" w:asciiTheme="minorEastAsia" w:hAnsiTheme="minorEastAsia" w:cstheme="minorEastAsia"/>
          <w:sz w:val="24"/>
        </w:rPr>
        <w:t>招标安排</w:t>
      </w:r>
    </w:p>
    <w:p>
      <w:pPr>
        <w:spacing w:line="440" w:lineRule="exact"/>
        <w:rPr>
          <w:rFonts w:asciiTheme="minorEastAsia" w:hAnsiTheme="minorEastAsia" w:cstheme="minorEastAsia"/>
          <w:sz w:val="24"/>
        </w:rPr>
      </w:pPr>
      <w:r>
        <w:rPr>
          <w:rFonts w:hint="eastAsia" w:asciiTheme="minorEastAsia" w:hAnsiTheme="minorEastAsia" w:cstheme="minorEastAsia"/>
          <w:sz w:val="24"/>
        </w:rPr>
        <w:t>1）招标时间：2024年4月25日至2024年5月7日</w:t>
      </w:r>
    </w:p>
    <w:p>
      <w:pPr>
        <w:spacing w:line="440" w:lineRule="exact"/>
        <w:rPr>
          <w:rFonts w:asciiTheme="minorEastAsia" w:hAnsiTheme="minorEastAsia" w:cstheme="minorEastAsia"/>
          <w:sz w:val="24"/>
        </w:rPr>
      </w:pPr>
      <w:r>
        <w:rPr>
          <w:rFonts w:hint="eastAsia" w:asciiTheme="minorEastAsia" w:hAnsiTheme="minorEastAsia" w:cstheme="minorEastAsia"/>
          <w:sz w:val="24"/>
        </w:rPr>
        <w:t>2）开标时间：2024年5月10日</w:t>
      </w:r>
    </w:p>
    <w:p>
      <w:pPr>
        <w:spacing w:line="440" w:lineRule="exact"/>
        <w:rPr>
          <w:rFonts w:ascii="宋体" w:hAnsi="宋体" w:eastAsia="宋体" w:cs="宋体"/>
          <w:sz w:val="24"/>
        </w:rPr>
      </w:pPr>
      <w:r>
        <w:rPr>
          <w:rFonts w:hint="eastAsia" w:asciiTheme="minorEastAsia" w:hAnsiTheme="minorEastAsia" w:cstheme="minorEastAsia"/>
          <w:sz w:val="24"/>
        </w:rPr>
        <w:t>3）</w:t>
      </w:r>
      <w:r>
        <w:rPr>
          <w:rFonts w:ascii="宋体" w:hAnsi="宋体" w:eastAsia="宋体" w:cs="宋体"/>
          <w:sz w:val="24"/>
        </w:rPr>
        <w:t>评标形式：由我司</w:t>
      </w:r>
      <w:r>
        <w:rPr>
          <w:rFonts w:hint="eastAsia" w:ascii="宋体" w:hAnsi="宋体" w:eastAsia="宋体" w:cs="宋体"/>
          <w:sz w:val="24"/>
        </w:rPr>
        <w:t>物流</w:t>
      </w:r>
      <w:r>
        <w:rPr>
          <w:rFonts w:ascii="宋体" w:hAnsi="宋体" w:eastAsia="宋体" w:cs="宋体"/>
          <w:sz w:val="24"/>
        </w:rPr>
        <w:t>部集中会议评标</w:t>
      </w:r>
    </w:p>
    <w:p>
      <w:pPr>
        <w:spacing w:line="440" w:lineRule="exact"/>
        <w:rPr>
          <w:rFonts w:ascii="宋体" w:hAnsi="宋体" w:eastAsia="宋体" w:cs="宋体"/>
          <w:sz w:val="24"/>
          <w:lang w:eastAsia="zh-Hans"/>
        </w:rPr>
      </w:pPr>
      <w:r>
        <w:rPr>
          <w:rFonts w:ascii="宋体" w:hAnsi="宋体" w:eastAsia="宋体" w:cs="宋体"/>
          <w:sz w:val="24"/>
        </w:rPr>
        <w:t>4</w:t>
      </w:r>
      <w:r>
        <w:rPr>
          <w:rFonts w:hint="eastAsia" w:ascii="宋体" w:hAnsi="宋体" w:eastAsia="宋体" w:cs="宋体"/>
          <w:sz w:val="24"/>
          <w:lang w:eastAsia="zh-Hans"/>
        </w:rPr>
        <w:t>）评标标准：在投标文件符合要求的前提下，采用最低价定标法评标定标。</w:t>
      </w:r>
    </w:p>
    <w:p>
      <w:pPr>
        <w:spacing w:line="440" w:lineRule="exact"/>
        <w:rPr>
          <w:rFonts w:asciiTheme="minorEastAsia" w:hAnsiTheme="minorEastAsia" w:cstheme="minorEastAsia"/>
          <w:sz w:val="24"/>
        </w:rPr>
      </w:pPr>
    </w:p>
    <w:p>
      <w:pPr>
        <w:numPr>
          <w:ilvl w:val="0"/>
          <w:numId w:val="1"/>
        </w:numPr>
        <w:spacing w:line="440" w:lineRule="exact"/>
        <w:rPr>
          <w:rFonts w:asciiTheme="minorEastAsia" w:hAnsiTheme="minorEastAsia" w:cstheme="minorEastAsia"/>
          <w:sz w:val="24"/>
        </w:rPr>
      </w:pPr>
      <w:r>
        <w:rPr>
          <w:rFonts w:hint="eastAsia" w:asciiTheme="minorEastAsia" w:hAnsiTheme="minorEastAsia" w:cstheme="minorEastAsia"/>
          <w:sz w:val="24"/>
        </w:rPr>
        <w:t>招标项目</w:t>
      </w:r>
    </w:p>
    <w:p>
      <w:pPr>
        <w:numPr>
          <w:ilvl w:val="-1"/>
          <w:numId w:val="0"/>
        </w:numPr>
        <w:spacing w:line="440" w:lineRule="exact"/>
        <w:rPr>
          <w:rFonts w:asciiTheme="minorEastAsia" w:hAnsiTheme="minorEastAsia" w:cstheme="minorEastAsia"/>
          <w:sz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320"/>
        <w:gridCol w:w="2325"/>
        <w:gridCol w:w="166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29" w:type="dxa"/>
          </w:tcPr>
          <w:p>
            <w:r>
              <w:rPr>
                <w:rFonts w:hint="eastAsia"/>
              </w:rPr>
              <w:t>序号</w:t>
            </w:r>
          </w:p>
        </w:tc>
        <w:tc>
          <w:tcPr>
            <w:tcW w:w="1320" w:type="dxa"/>
          </w:tcPr>
          <w:p>
            <w:r>
              <w:rPr>
                <w:rFonts w:hint="eastAsia"/>
              </w:rPr>
              <w:t>运输路线</w:t>
            </w:r>
          </w:p>
        </w:tc>
        <w:tc>
          <w:tcPr>
            <w:tcW w:w="2325" w:type="dxa"/>
          </w:tcPr>
          <w:p>
            <w:r>
              <w:rPr>
                <w:rFonts w:hint="eastAsia"/>
              </w:rPr>
              <w:t>参考车型</w:t>
            </w:r>
          </w:p>
        </w:tc>
        <w:tc>
          <w:tcPr>
            <w:tcW w:w="1665" w:type="dxa"/>
          </w:tcPr>
          <w:p>
            <w:r>
              <w:rPr>
                <w:rFonts w:hint="eastAsia"/>
              </w:rPr>
              <w:t>月业务量（吨）</w:t>
            </w:r>
          </w:p>
        </w:tc>
        <w:tc>
          <w:tcPr>
            <w:tcW w:w="2415" w:type="dxa"/>
          </w:tcPr>
          <w:p>
            <w:r>
              <w:rPr>
                <w:rFonts w:hint="eastAsia"/>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r>
              <w:rPr>
                <w:rFonts w:hint="eastAsia"/>
              </w:rPr>
              <w:t>1</w:t>
            </w:r>
          </w:p>
        </w:tc>
        <w:tc>
          <w:tcPr>
            <w:tcW w:w="1320" w:type="dxa"/>
          </w:tcPr>
          <w:p>
            <w:r>
              <w:rPr>
                <w:rFonts w:hint="eastAsia"/>
              </w:rPr>
              <w:t>广州南沙-珠海金湾</w:t>
            </w:r>
          </w:p>
        </w:tc>
        <w:tc>
          <w:tcPr>
            <w:tcW w:w="2325" w:type="dxa"/>
          </w:tcPr>
          <w:p>
            <w:r>
              <w:rPr>
                <w:rFonts w:hint="eastAsia"/>
              </w:rPr>
              <w:t>15m冷藏车/9.6m冷藏车/7.6m冷藏车/4.2m冷藏车</w:t>
            </w:r>
          </w:p>
        </w:tc>
        <w:tc>
          <w:tcPr>
            <w:tcW w:w="1665" w:type="dxa"/>
          </w:tcPr>
          <w:p>
            <w:r>
              <w:rPr>
                <w:rFonts w:hint="eastAsia"/>
              </w:rPr>
              <w:t>450吨</w:t>
            </w:r>
          </w:p>
        </w:tc>
        <w:tc>
          <w:tcPr>
            <w:tcW w:w="2415" w:type="dxa"/>
          </w:tcPr>
          <w:p>
            <w:r>
              <w:t>1、</w:t>
            </w:r>
            <w:r>
              <w:rPr>
                <w:rFonts w:hint="eastAsia"/>
              </w:rPr>
              <w:t>全程-18℃以下打冷</w:t>
            </w:r>
          </w:p>
          <w:p>
            <w:r>
              <w:t>2、</w:t>
            </w:r>
            <w:r>
              <w:rPr>
                <w:rFonts w:hint="eastAsia"/>
              </w:rPr>
              <w:t>按要求的时间达到装货仓库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r>
              <w:rPr>
                <w:rFonts w:hint="eastAsia"/>
              </w:rPr>
              <w:t>2</w:t>
            </w:r>
          </w:p>
        </w:tc>
        <w:tc>
          <w:tcPr>
            <w:tcW w:w="1320" w:type="dxa"/>
          </w:tcPr>
          <w:p>
            <w:r>
              <w:rPr>
                <w:rFonts w:hint="eastAsia"/>
              </w:rPr>
              <w:t>珠海金湾-佛山顺德</w:t>
            </w:r>
          </w:p>
        </w:tc>
        <w:tc>
          <w:tcPr>
            <w:tcW w:w="2325" w:type="dxa"/>
          </w:tcPr>
          <w:p>
            <w:r>
              <w:rPr>
                <w:rFonts w:hint="eastAsia"/>
              </w:rPr>
              <w:t>15m冷藏车/9.6m冷藏车/7.6m冷藏车/4.2m冷藏车</w:t>
            </w:r>
          </w:p>
        </w:tc>
        <w:tc>
          <w:tcPr>
            <w:tcW w:w="1665" w:type="dxa"/>
          </w:tcPr>
          <w:p>
            <w:r>
              <w:rPr>
                <w:rFonts w:hint="eastAsia"/>
              </w:rPr>
              <w:t>180吨</w:t>
            </w:r>
          </w:p>
        </w:tc>
        <w:tc>
          <w:tcPr>
            <w:tcW w:w="2415" w:type="dxa"/>
          </w:tcPr>
          <w:p>
            <w:r>
              <w:t>1、</w:t>
            </w:r>
            <w:r>
              <w:rPr>
                <w:rFonts w:hint="eastAsia"/>
              </w:rPr>
              <w:t>全程-18℃以下打冷</w:t>
            </w:r>
          </w:p>
          <w:p>
            <w:r>
              <w:t>2、</w:t>
            </w:r>
            <w:r>
              <w:rPr>
                <w:rFonts w:hint="eastAsia"/>
              </w:rPr>
              <w:t>按要求的时间达到装货仓库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r>
              <w:rPr>
                <w:rFonts w:hint="eastAsia"/>
              </w:rPr>
              <w:t>3</w:t>
            </w:r>
          </w:p>
        </w:tc>
        <w:tc>
          <w:tcPr>
            <w:tcW w:w="1320" w:type="dxa"/>
          </w:tcPr>
          <w:p>
            <w:r>
              <w:rPr>
                <w:rFonts w:hint="eastAsia"/>
              </w:rPr>
              <w:t>珠海金湾-佛山南海</w:t>
            </w:r>
          </w:p>
        </w:tc>
        <w:tc>
          <w:tcPr>
            <w:tcW w:w="2325" w:type="dxa"/>
          </w:tcPr>
          <w:p>
            <w:r>
              <w:rPr>
                <w:rFonts w:hint="eastAsia"/>
              </w:rPr>
              <w:t>15m冷藏车/9.6m冷藏车/7.6m冷藏车/4.2m冷藏车</w:t>
            </w:r>
          </w:p>
        </w:tc>
        <w:tc>
          <w:tcPr>
            <w:tcW w:w="1665" w:type="dxa"/>
          </w:tcPr>
          <w:p>
            <w:r>
              <w:rPr>
                <w:rFonts w:hint="eastAsia"/>
              </w:rPr>
              <w:t>250吨</w:t>
            </w:r>
          </w:p>
        </w:tc>
        <w:tc>
          <w:tcPr>
            <w:tcW w:w="2415" w:type="dxa"/>
          </w:tcPr>
          <w:p>
            <w:r>
              <w:t>1、</w:t>
            </w:r>
            <w:r>
              <w:rPr>
                <w:rFonts w:hint="eastAsia"/>
              </w:rPr>
              <w:t>全程-18℃以下打冷</w:t>
            </w:r>
          </w:p>
          <w:p>
            <w:r>
              <w:t>2、</w:t>
            </w:r>
            <w:r>
              <w:rPr>
                <w:rFonts w:hint="eastAsia"/>
              </w:rPr>
              <w:t>按要求的时间达到装货仓库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r>
              <w:rPr>
                <w:rFonts w:hint="eastAsia"/>
              </w:rPr>
              <w:t>4</w:t>
            </w:r>
          </w:p>
        </w:tc>
        <w:tc>
          <w:tcPr>
            <w:tcW w:w="1320" w:type="dxa"/>
          </w:tcPr>
          <w:p>
            <w:r>
              <w:rPr>
                <w:rFonts w:hint="eastAsia"/>
              </w:rPr>
              <w:t>珠海金湾-广州黄埔/番禺</w:t>
            </w:r>
          </w:p>
        </w:tc>
        <w:tc>
          <w:tcPr>
            <w:tcW w:w="2325" w:type="dxa"/>
          </w:tcPr>
          <w:p>
            <w:r>
              <w:rPr>
                <w:rFonts w:hint="eastAsia"/>
              </w:rPr>
              <w:t>7.6m冷藏车/4.2m冷藏车</w:t>
            </w:r>
          </w:p>
        </w:tc>
        <w:tc>
          <w:tcPr>
            <w:tcW w:w="1665" w:type="dxa"/>
          </w:tcPr>
          <w:p>
            <w:r>
              <w:rPr>
                <w:rFonts w:hint="eastAsia"/>
              </w:rPr>
              <w:t>20吨</w:t>
            </w:r>
          </w:p>
        </w:tc>
        <w:tc>
          <w:tcPr>
            <w:tcW w:w="2415" w:type="dxa"/>
          </w:tcPr>
          <w:p>
            <w:r>
              <w:t>1、</w:t>
            </w:r>
            <w:r>
              <w:rPr>
                <w:rFonts w:hint="eastAsia"/>
              </w:rPr>
              <w:t>全程-18℃以下打冷</w:t>
            </w:r>
          </w:p>
          <w:p>
            <w:r>
              <w:t>2、</w:t>
            </w:r>
            <w:r>
              <w:rPr>
                <w:rFonts w:hint="eastAsia"/>
              </w:rPr>
              <w:t>按要求的时间达到装货仓库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tcPr>
          <w:p>
            <w:r>
              <w:rPr>
                <w:rFonts w:hint="eastAsia"/>
              </w:rPr>
              <w:t>5</w:t>
            </w:r>
          </w:p>
        </w:tc>
        <w:tc>
          <w:tcPr>
            <w:tcW w:w="1320" w:type="dxa"/>
          </w:tcPr>
          <w:p>
            <w:r>
              <w:rPr>
                <w:rFonts w:hint="eastAsia"/>
              </w:rPr>
              <w:t>珠海金湾-深圳龙岗</w:t>
            </w:r>
          </w:p>
        </w:tc>
        <w:tc>
          <w:tcPr>
            <w:tcW w:w="2325" w:type="dxa"/>
          </w:tcPr>
          <w:p>
            <w:r>
              <w:rPr>
                <w:rFonts w:hint="eastAsia"/>
              </w:rPr>
              <w:t>15m冷藏车/7.6m冷藏车</w:t>
            </w:r>
          </w:p>
        </w:tc>
        <w:tc>
          <w:tcPr>
            <w:tcW w:w="1665" w:type="dxa"/>
          </w:tcPr>
          <w:p>
            <w:r>
              <w:rPr>
                <w:rFonts w:hint="eastAsia"/>
              </w:rPr>
              <w:t>40吨</w:t>
            </w:r>
          </w:p>
        </w:tc>
        <w:tc>
          <w:tcPr>
            <w:tcW w:w="2415" w:type="dxa"/>
          </w:tcPr>
          <w:p>
            <w:r>
              <w:t>1、</w:t>
            </w:r>
            <w:r>
              <w:rPr>
                <w:rFonts w:hint="eastAsia"/>
              </w:rPr>
              <w:t>全程-18℃以下打冷</w:t>
            </w:r>
          </w:p>
          <w:p>
            <w:r>
              <w:t>2、</w:t>
            </w:r>
            <w:r>
              <w:rPr>
                <w:rFonts w:hint="eastAsia"/>
              </w:rPr>
              <w:t>按要求的时间达到装货仓库</w:t>
            </w:r>
          </w:p>
        </w:tc>
      </w:tr>
    </w:tbl>
    <w:p>
      <w:pPr>
        <w:rPr>
          <w:rFonts w:asciiTheme="minorEastAsia" w:hAnsiTheme="minorEastAsia" w:cstheme="minorEastAsia"/>
          <w:sz w:val="24"/>
        </w:rPr>
      </w:pPr>
    </w:p>
    <w:p>
      <w:pPr>
        <w:rPr>
          <w:rFonts w:asciiTheme="minorEastAsia" w:hAnsiTheme="minorEastAsia" w:cstheme="minorEastAsia"/>
          <w:sz w:val="24"/>
        </w:rPr>
      </w:pPr>
      <w:r>
        <w:rPr>
          <w:rFonts w:hint="eastAsia" w:asciiTheme="minorEastAsia" w:hAnsiTheme="minorEastAsia" w:cstheme="minorEastAsia"/>
          <w:sz w:val="24"/>
        </w:rPr>
        <w:t>备注：15m冷藏车载货重量不得低于27.5吨，7.6m冷藏车载货重量不得低于10吨，4.2m冷藏车载货重量不得低于5.5吨。</w:t>
      </w:r>
    </w:p>
    <w:p>
      <w:pPr>
        <w:rPr>
          <w:rFonts w:asciiTheme="minorEastAsia" w:hAnsiTheme="minorEastAsia" w:cstheme="minorEastAsia"/>
          <w:sz w:val="24"/>
        </w:rPr>
      </w:pPr>
    </w:p>
    <w:p>
      <w:pPr>
        <w:rPr>
          <w:rFonts w:asciiTheme="minorEastAsia" w:hAnsiTheme="minorEastAsia" w:cstheme="minorEastAsia"/>
          <w:sz w:val="24"/>
        </w:rPr>
      </w:pPr>
    </w:p>
    <w:p>
      <w:pPr>
        <w:numPr>
          <w:ilvl w:val="0"/>
          <w:numId w:val="1"/>
        </w:numPr>
        <w:rPr>
          <w:rFonts w:asciiTheme="minorEastAsia" w:hAnsiTheme="minorEastAsia" w:cstheme="minorEastAsia"/>
          <w:sz w:val="24"/>
        </w:rPr>
      </w:pPr>
      <w:r>
        <w:rPr>
          <w:rFonts w:hint="eastAsia" w:asciiTheme="minorEastAsia" w:hAnsiTheme="minorEastAsia" w:cstheme="minorEastAsia"/>
          <w:sz w:val="24"/>
        </w:rPr>
        <w:t>资质要求</w:t>
      </w:r>
    </w:p>
    <w:p>
      <w:pPr>
        <w:numPr>
          <w:ilvl w:val="0"/>
          <w:numId w:val="2"/>
        </w:numPr>
        <w:spacing w:line="440" w:lineRule="exact"/>
        <w:rPr>
          <w:rFonts w:asciiTheme="minorEastAsia" w:hAnsiTheme="minorEastAsia" w:cstheme="minorEastAsia"/>
          <w:sz w:val="24"/>
        </w:rPr>
      </w:pPr>
      <w:r>
        <w:rPr>
          <w:rFonts w:hint="eastAsia" w:asciiTheme="minorEastAsia" w:hAnsiTheme="minorEastAsia" w:cstheme="minorEastAsia"/>
          <w:sz w:val="24"/>
        </w:rPr>
        <w:t>投标单位必须是在中华人民共和国境内注册的独立法人资格和具有独立承担民事责任能力的合法企业，有良好的社会信誉，有健全的公司法人治理机构，具有履约的相应技术和管理经验，能够提供以下证明的：</w:t>
      </w:r>
    </w:p>
    <w:p>
      <w:pPr>
        <w:numPr>
          <w:ilvl w:val="0"/>
          <w:numId w:val="3"/>
        </w:numPr>
        <w:spacing w:line="440" w:lineRule="exact"/>
        <w:rPr>
          <w:rFonts w:asciiTheme="minorEastAsia" w:hAnsiTheme="minorEastAsia" w:cstheme="minorEastAsia"/>
          <w:sz w:val="24"/>
        </w:rPr>
      </w:pPr>
      <w:r>
        <w:rPr>
          <w:rFonts w:hint="eastAsia" w:asciiTheme="minorEastAsia" w:hAnsiTheme="minorEastAsia" w:cstheme="minorEastAsia"/>
          <w:sz w:val="24"/>
        </w:rPr>
        <w:t>《营业执照》</w:t>
      </w:r>
    </w:p>
    <w:p>
      <w:pPr>
        <w:numPr>
          <w:ilvl w:val="0"/>
          <w:numId w:val="3"/>
        </w:numPr>
        <w:spacing w:line="440" w:lineRule="exact"/>
        <w:rPr>
          <w:rFonts w:asciiTheme="minorEastAsia" w:hAnsiTheme="minorEastAsia" w:cstheme="minorEastAsia"/>
          <w:sz w:val="24"/>
        </w:rPr>
      </w:pPr>
      <w:r>
        <w:rPr>
          <w:rFonts w:hint="eastAsia" w:asciiTheme="minorEastAsia" w:hAnsiTheme="minorEastAsia" w:cstheme="minorEastAsia"/>
          <w:sz w:val="24"/>
        </w:rPr>
        <w:t>《道路运输经营许可证》</w:t>
      </w:r>
    </w:p>
    <w:p>
      <w:pPr>
        <w:numPr>
          <w:ilvl w:val="0"/>
          <w:numId w:val="3"/>
        </w:numPr>
        <w:spacing w:line="440" w:lineRule="exact"/>
        <w:rPr>
          <w:rFonts w:asciiTheme="minorEastAsia" w:hAnsiTheme="minorEastAsia" w:cstheme="minorEastAsia"/>
          <w:sz w:val="24"/>
        </w:rPr>
      </w:pPr>
      <w:r>
        <w:rPr>
          <w:rFonts w:hint="eastAsia" w:asciiTheme="minorEastAsia" w:hAnsiTheme="minorEastAsia" w:cstheme="minorEastAsia"/>
          <w:sz w:val="24"/>
        </w:rPr>
        <w:t>《一般纳税人证明》</w:t>
      </w:r>
    </w:p>
    <w:p>
      <w:pPr>
        <w:numPr>
          <w:ilvl w:val="0"/>
          <w:numId w:val="3"/>
        </w:numPr>
        <w:spacing w:line="440" w:lineRule="exact"/>
        <w:rPr>
          <w:rFonts w:asciiTheme="minorEastAsia" w:hAnsiTheme="minorEastAsia" w:cstheme="minorEastAsia"/>
          <w:sz w:val="24"/>
        </w:rPr>
      </w:pPr>
      <w:r>
        <w:rPr>
          <w:rFonts w:hint="eastAsia" w:asciiTheme="minorEastAsia" w:hAnsiTheme="minorEastAsia" w:cstheme="minorEastAsia"/>
          <w:sz w:val="24"/>
        </w:rPr>
        <w:t>《开户许可证》</w:t>
      </w:r>
    </w:p>
    <w:p>
      <w:pPr>
        <w:numPr>
          <w:ilvl w:val="0"/>
          <w:numId w:val="3"/>
        </w:numPr>
        <w:spacing w:line="440" w:lineRule="exact"/>
        <w:rPr>
          <w:rFonts w:asciiTheme="minorEastAsia" w:hAnsiTheme="minorEastAsia" w:cstheme="minorEastAsia"/>
          <w:sz w:val="24"/>
        </w:rPr>
      </w:pPr>
      <w:r>
        <w:rPr>
          <w:rFonts w:hint="eastAsia" w:asciiTheme="minorEastAsia" w:hAnsiTheme="minorEastAsia" w:cstheme="minorEastAsia"/>
          <w:sz w:val="24"/>
        </w:rPr>
        <w:t>《纳税信用评价等级证明》</w:t>
      </w:r>
    </w:p>
    <w:p>
      <w:pPr>
        <w:numPr>
          <w:ilvl w:val="0"/>
          <w:numId w:val="3"/>
        </w:numPr>
        <w:spacing w:line="440" w:lineRule="exact"/>
        <w:rPr>
          <w:rFonts w:asciiTheme="minorEastAsia" w:hAnsiTheme="minorEastAsia" w:cstheme="minorEastAsia"/>
          <w:sz w:val="24"/>
        </w:rPr>
      </w:pPr>
      <w:r>
        <w:rPr>
          <w:rFonts w:hint="eastAsia" w:asciiTheme="minorEastAsia" w:hAnsiTheme="minorEastAsia" w:cstheme="minorEastAsia"/>
          <w:sz w:val="24"/>
        </w:rPr>
        <w:t>《无欠税证明》（开具日期需要在2024年4月内）</w:t>
      </w:r>
    </w:p>
    <w:p>
      <w:pPr>
        <w:numPr>
          <w:ilvl w:val="0"/>
          <w:numId w:val="2"/>
        </w:numPr>
        <w:spacing w:line="440" w:lineRule="exact"/>
        <w:rPr>
          <w:rFonts w:asciiTheme="minorEastAsia" w:hAnsiTheme="minorEastAsia" w:cstheme="minorEastAsia"/>
          <w:sz w:val="24"/>
        </w:rPr>
      </w:pPr>
      <w:r>
        <w:rPr>
          <w:rFonts w:hint="eastAsia" w:asciiTheme="minorEastAsia" w:hAnsiTheme="minorEastAsia" w:cstheme="minorEastAsia"/>
          <w:sz w:val="24"/>
        </w:rPr>
        <w:t>投标单位必须是专业的物流企业，具备一年以上相关业务营运经验。冷冻产品运输要求全部使用冷藏车，运输途中能达到全程-18℃以下的打冷要；车辆具备GPS及在途温度监控系统，温度记录可导出。车辆保险（交强险、商业险）齐全有效，机动车第三者责任险保险金额200万起，如购买了货物保险，则在评标过程中进行适当加分。</w:t>
      </w:r>
    </w:p>
    <w:p>
      <w:pPr>
        <w:numPr>
          <w:ilvl w:val="0"/>
          <w:numId w:val="2"/>
        </w:numPr>
        <w:spacing w:line="440" w:lineRule="exact"/>
        <w:rPr>
          <w:rFonts w:asciiTheme="minorEastAsia" w:hAnsiTheme="minorEastAsia" w:cstheme="minorEastAsia"/>
          <w:sz w:val="24"/>
        </w:rPr>
      </w:pPr>
      <w:r>
        <w:rPr>
          <w:rFonts w:hint="eastAsia" w:asciiTheme="minorEastAsia" w:hAnsiTheme="minorEastAsia" w:cstheme="minorEastAsia"/>
          <w:sz w:val="24"/>
        </w:rPr>
        <w:t>能够以参与投标公司的名义开具符合国家规定的增值税专用发票（增值税税率9%）。</w:t>
      </w:r>
    </w:p>
    <w:p>
      <w:pPr>
        <w:numPr>
          <w:ilvl w:val="-1"/>
          <w:numId w:val="0"/>
        </w:numPr>
        <w:spacing w:line="440" w:lineRule="exact"/>
        <w:rPr>
          <w:rFonts w:asciiTheme="minorEastAsia" w:hAnsiTheme="minorEastAsia" w:cstheme="minorEastAsia"/>
          <w:sz w:val="24"/>
        </w:rPr>
      </w:pPr>
    </w:p>
    <w:p>
      <w:pPr>
        <w:numPr>
          <w:ilvl w:val="0"/>
          <w:numId w:val="1"/>
        </w:numPr>
        <w:spacing w:line="440" w:lineRule="exact"/>
        <w:rPr>
          <w:rFonts w:asciiTheme="minorEastAsia" w:hAnsiTheme="minorEastAsia" w:cstheme="minorEastAsia"/>
          <w:sz w:val="24"/>
        </w:rPr>
      </w:pPr>
      <w:r>
        <w:rPr>
          <w:rFonts w:hint="eastAsia" w:asciiTheme="minorEastAsia" w:hAnsiTheme="minorEastAsia" w:cstheme="minorEastAsia"/>
          <w:sz w:val="24"/>
        </w:rPr>
        <w:t>投标方式及要求</w:t>
      </w:r>
    </w:p>
    <w:p>
      <w:pPr>
        <w:numPr>
          <w:ilvl w:val="0"/>
          <w:numId w:val="4"/>
        </w:numPr>
        <w:spacing w:line="440" w:lineRule="exact"/>
        <w:rPr>
          <w:rFonts w:asciiTheme="minorEastAsia" w:hAnsiTheme="minorEastAsia" w:cstheme="minorEastAsia"/>
          <w:sz w:val="24"/>
        </w:rPr>
      </w:pPr>
      <w:r>
        <w:rPr>
          <w:rFonts w:hint="eastAsia" w:asciiTheme="minorEastAsia" w:hAnsiTheme="minorEastAsia" w:cstheme="minorEastAsia"/>
          <w:sz w:val="24"/>
        </w:rPr>
        <w:t>投标书要求：提供资质要求中所要求的相关证明，包括但不限于：</w:t>
      </w:r>
    </w:p>
    <w:p>
      <w:pPr>
        <w:numPr>
          <w:ilvl w:val="0"/>
          <w:numId w:val="5"/>
        </w:numPr>
        <w:spacing w:line="440" w:lineRule="exact"/>
        <w:rPr>
          <w:rFonts w:asciiTheme="minorEastAsia" w:hAnsiTheme="minorEastAsia" w:cstheme="minorEastAsia"/>
          <w:sz w:val="24"/>
        </w:rPr>
      </w:pPr>
      <w:r>
        <w:rPr>
          <w:rFonts w:hint="eastAsia" w:asciiTheme="minorEastAsia" w:hAnsiTheme="minorEastAsia" w:cstheme="minorEastAsia"/>
          <w:sz w:val="24"/>
        </w:rPr>
        <w:t>《营业执照》</w:t>
      </w:r>
    </w:p>
    <w:p>
      <w:pPr>
        <w:numPr>
          <w:ilvl w:val="0"/>
          <w:numId w:val="5"/>
        </w:numPr>
        <w:spacing w:line="440" w:lineRule="exact"/>
        <w:rPr>
          <w:rFonts w:asciiTheme="minorEastAsia" w:hAnsiTheme="minorEastAsia" w:cstheme="minorEastAsia"/>
          <w:sz w:val="24"/>
        </w:rPr>
      </w:pPr>
      <w:r>
        <w:rPr>
          <w:rFonts w:hint="eastAsia" w:asciiTheme="minorEastAsia" w:hAnsiTheme="minorEastAsia" w:cstheme="minorEastAsia"/>
          <w:sz w:val="24"/>
        </w:rPr>
        <w:t>《道路运输经营许可证》</w:t>
      </w:r>
    </w:p>
    <w:p>
      <w:pPr>
        <w:numPr>
          <w:ilvl w:val="0"/>
          <w:numId w:val="5"/>
        </w:numPr>
        <w:spacing w:line="440" w:lineRule="exact"/>
        <w:rPr>
          <w:rFonts w:asciiTheme="minorEastAsia" w:hAnsiTheme="minorEastAsia" w:cstheme="minorEastAsia"/>
          <w:sz w:val="24"/>
        </w:rPr>
      </w:pPr>
      <w:r>
        <w:rPr>
          <w:rFonts w:hint="eastAsia" w:asciiTheme="minorEastAsia" w:hAnsiTheme="minorEastAsia" w:cstheme="minorEastAsia"/>
          <w:sz w:val="24"/>
        </w:rPr>
        <w:t>《一般纳税人证明》</w:t>
      </w:r>
    </w:p>
    <w:p>
      <w:pPr>
        <w:numPr>
          <w:ilvl w:val="0"/>
          <w:numId w:val="5"/>
        </w:numPr>
        <w:spacing w:line="440" w:lineRule="exact"/>
        <w:rPr>
          <w:rFonts w:asciiTheme="minorEastAsia" w:hAnsiTheme="minorEastAsia" w:cstheme="minorEastAsia"/>
          <w:sz w:val="24"/>
        </w:rPr>
      </w:pPr>
      <w:r>
        <w:rPr>
          <w:rFonts w:hint="eastAsia" w:asciiTheme="minorEastAsia" w:hAnsiTheme="minorEastAsia" w:cstheme="minorEastAsia"/>
          <w:sz w:val="24"/>
        </w:rPr>
        <w:t>《开户许可证》</w:t>
      </w:r>
    </w:p>
    <w:p>
      <w:pPr>
        <w:numPr>
          <w:ilvl w:val="0"/>
          <w:numId w:val="5"/>
        </w:numPr>
        <w:spacing w:line="440" w:lineRule="exact"/>
        <w:rPr>
          <w:rFonts w:asciiTheme="minorEastAsia" w:hAnsiTheme="minorEastAsia" w:cstheme="minorEastAsia"/>
          <w:sz w:val="24"/>
        </w:rPr>
      </w:pPr>
      <w:r>
        <w:rPr>
          <w:rFonts w:hint="eastAsia" w:asciiTheme="minorEastAsia" w:hAnsiTheme="minorEastAsia" w:cstheme="minorEastAsia"/>
          <w:sz w:val="24"/>
        </w:rPr>
        <w:t>《纳税信用评价等级证明》</w:t>
      </w:r>
    </w:p>
    <w:p>
      <w:pPr>
        <w:numPr>
          <w:ilvl w:val="0"/>
          <w:numId w:val="5"/>
        </w:numPr>
        <w:spacing w:line="440" w:lineRule="exact"/>
        <w:rPr>
          <w:rFonts w:asciiTheme="minorEastAsia" w:hAnsiTheme="minorEastAsia" w:cstheme="minorEastAsia"/>
          <w:sz w:val="24"/>
        </w:rPr>
      </w:pPr>
      <w:r>
        <w:rPr>
          <w:rFonts w:hint="eastAsia" w:asciiTheme="minorEastAsia" w:hAnsiTheme="minorEastAsia" w:cstheme="minorEastAsia"/>
          <w:sz w:val="24"/>
        </w:rPr>
        <w:t>《无欠税证明》</w:t>
      </w:r>
    </w:p>
    <w:p>
      <w:pPr>
        <w:numPr>
          <w:ilvl w:val="0"/>
          <w:numId w:val="5"/>
        </w:numPr>
        <w:spacing w:line="440" w:lineRule="exact"/>
        <w:rPr>
          <w:rFonts w:asciiTheme="minorEastAsia" w:hAnsiTheme="minorEastAsia" w:cstheme="minorEastAsia"/>
          <w:sz w:val="24"/>
        </w:rPr>
      </w:pPr>
      <w:r>
        <w:rPr>
          <w:rFonts w:hint="eastAsia" w:asciiTheme="minorEastAsia" w:hAnsiTheme="minorEastAsia" w:cstheme="minorEastAsia"/>
          <w:sz w:val="24"/>
        </w:rPr>
        <w:t>公司简介与常规业务</w:t>
      </w:r>
    </w:p>
    <w:p>
      <w:pPr>
        <w:numPr>
          <w:ilvl w:val="0"/>
          <w:numId w:val="5"/>
        </w:numPr>
        <w:spacing w:line="440" w:lineRule="exact"/>
        <w:rPr>
          <w:rFonts w:asciiTheme="minorEastAsia" w:hAnsiTheme="minorEastAsia" w:cstheme="minorEastAsia"/>
          <w:sz w:val="24"/>
        </w:rPr>
      </w:pPr>
      <w:r>
        <w:rPr>
          <w:rFonts w:hint="eastAsia" w:asciiTheme="minorEastAsia" w:hAnsiTheme="minorEastAsia" w:cstheme="minorEastAsia"/>
          <w:sz w:val="24"/>
        </w:rPr>
        <w:t>电子版报价单一份（报价需含增值税9%）</w:t>
      </w:r>
    </w:p>
    <w:p>
      <w:pPr>
        <w:pStyle w:val="7"/>
        <w:widowControl/>
        <w:shd w:val="clear" w:color="auto" w:fill="FFFFFF"/>
        <w:spacing w:beforeAutospacing="0" w:afterAutospacing="0" w:line="440" w:lineRule="exact"/>
        <w:jc w:val="both"/>
        <w:rPr>
          <w:rFonts w:asciiTheme="minorEastAsia" w:hAnsiTheme="minorEastAsia" w:cstheme="minorEastAsia"/>
          <w:kern w:val="2"/>
        </w:rPr>
      </w:pPr>
      <w:r>
        <w:rPr>
          <w:rFonts w:hint="eastAsia" w:asciiTheme="minorEastAsia" w:hAnsiTheme="minorEastAsia" w:cstheme="minorEastAsia"/>
          <w:kern w:val="2"/>
        </w:rPr>
        <w:t>2、标书首页需写明投标项目，公司名称，投标日期、联系人、手机号、邮箱等信息。</w:t>
      </w:r>
    </w:p>
    <w:p>
      <w:pPr>
        <w:spacing w:line="440" w:lineRule="exact"/>
        <w:rPr>
          <w:rFonts w:ascii="宋体" w:hAnsi="宋体" w:eastAsia="宋体" w:cs="宋体"/>
          <w:sz w:val="24"/>
        </w:rPr>
      </w:pPr>
      <w:r>
        <w:rPr>
          <w:rFonts w:hint="eastAsia" w:ascii="宋体" w:hAnsi="宋体" w:eastAsia="宋体" w:cs="宋体"/>
          <w:sz w:val="24"/>
        </w:rPr>
        <w:t>3、参与投标的公司需</w:t>
      </w:r>
      <w:r>
        <w:rPr>
          <w:rFonts w:ascii="宋体" w:hAnsi="宋体" w:eastAsia="宋体" w:cs="宋体"/>
          <w:sz w:val="24"/>
        </w:rPr>
        <w:t>交纳投标保证金20,00元(贰千元整)，要求现金</w:t>
      </w:r>
      <w:r>
        <w:rPr>
          <w:rFonts w:hint="eastAsia" w:ascii="宋体" w:hAnsi="宋体" w:eastAsia="宋体" w:cs="宋体"/>
          <w:sz w:val="24"/>
        </w:rPr>
        <w:t>汇</w:t>
      </w:r>
      <w:r>
        <w:rPr>
          <w:rFonts w:ascii="宋体" w:hAnsi="宋体" w:eastAsia="宋体" w:cs="宋体"/>
          <w:sz w:val="24"/>
        </w:rPr>
        <w:t>到指定公司账户；招标方将在开标后15个工作日内通知中标方签订合同。若未中标,此保证金在招标结束后15个工作日内全额退还,若中标方不在规定时间与招标方签订合同，招标方将不退还投标保证金且可另行确定中标方。招标保证金汇款账户如下</w:t>
      </w:r>
      <w:r>
        <w:rPr>
          <w:rFonts w:hint="eastAsia" w:ascii="宋体" w:hAnsi="宋体" w:eastAsia="宋体" w:cs="宋体"/>
          <w:sz w:val="24"/>
        </w:rPr>
        <w:t>:</w:t>
      </w:r>
    </w:p>
    <w:p>
      <w:pPr>
        <w:spacing w:line="440" w:lineRule="exact"/>
        <w:rPr>
          <w:rFonts w:ascii="宋体" w:hAnsi="宋体" w:eastAsia="宋体" w:cs="宋体"/>
          <w:sz w:val="24"/>
          <w:u w:val="single"/>
        </w:rPr>
      </w:pPr>
      <w:r>
        <w:rPr>
          <w:rFonts w:ascii="宋体" w:hAnsi="宋体" w:eastAsia="宋体" w:cs="宋体"/>
          <w:sz w:val="24"/>
          <w:u w:val="single"/>
        </w:rPr>
        <w:t>户名：欧泰贡（广东）食品有限公司 </w:t>
      </w:r>
    </w:p>
    <w:p>
      <w:pPr>
        <w:spacing w:line="440" w:lineRule="exact"/>
        <w:rPr>
          <w:rFonts w:ascii="宋体" w:hAnsi="宋体" w:eastAsia="宋体" w:cs="宋体"/>
          <w:sz w:val="24"/>
          <w:u w:val="single"/>
        </w:rPr>
      </w:pPr>
      <w:r>
        <w:rPr>
          <w:rFonts w:ascii="宋体" w:hAnsi="宋体" w:eastAsia="宋体" w:cs="宋体"/>
          <w:sz w:val="24"/>
          <w:u w:val="single"/>
        </w:rPr>
        <w:t>开户行：浦发银行广州番禺新城支行 </w:t>
      </w:r>
    </w:p>
    <w:p>
      <w:pPr>
        <w:spacing w:line="440" w:lineRule="exact"/>
        <w:rPr>
          <w:rFonts w:ascii="宋体" w:hAnsi="宋体" w:eastAsia="宋体" w:cs="宋体"/>
          <w:sz w:val="24"/>
          <w:u w:val="single"/>
        </w:rPr>
      </w:pPr>
      <w:r>
        <w:rPr>
          <w:rFonts w:ascii="宋体" w:hAnsi="宋体" w:eastAsia="宋体" w:cs="宋体"/>
          <w:sz w:val="24"/>
          <w:u w:val="single"/>
        </w:rPr>
        <w:t>账号：82220078801100000544</w:t>
      </w:r>
    </w:p>
    <w:p>
      <w:pPr>
        <w:numPr>
          <w:ilvl w:val="0"/>
          <w:numId w:val="2"/>
        </w:numPr>
        <w:spacing w:line="440" w:lineRule="exact"/>
        <w:rPr>
          <w:rFonts w:ascii="宋体" w:hAnsi="宋体" w:eastAsia="宋体" w:cs="宋体"/>
          <w:sz w:val="24"/>
        </w:rPr>
      </w:pPr>
      <w:r>
        <w:rPr>
          <w:rFonts w:hint="eastAsia" w:ascii="宋体" w:hAnsi="宋体" w:eastAsia="宋体" w:cs="宋体"/>
          <w:sz w:val="24"/>
        </w:rPr>
        <w:t>电子投标书接收邮箱：</w:t>
      </w:r>
      <w:r>
        <w:fldChar w:fldCharType="begin"/>
      </w:r>
      <w:r>
        <w:instrText xml:space="preserve"> HYPERLINK "mailto:Logistics%3cLogistics@otgchina.cn%3e" </w:instrText>
      </w:r>
      <w:r>
        <w:fldChar w:fldCharType="separate"/>
      </w:r>
      <w:r>
        <w:rPr>
          <w:rStyle w:val="11"/>
          <w:rFonts w:hint="eastAsia" w:ascii="宋体" w:hAnsi="宋体" w:eastAsia="宋体" w:cs="宋体"/>
          <w:sz w:val="24"/>
        </w:rPr>
        <w:t>Logistics&lt;Logistics@otgchina.cn&gt;</w:t>
      </w:r>
      <w:r>
        <w:rPr>
          <w:rStyle w:val="11"/>
          <w:rFonts w:hint="eastAsia" w:ascii="宋体" w:hAnsi="宋体" w:eastAsia="宋体" w:cs="宋体"/>
          <w:sz w:val="24"/>
        </w:rPr>
        <w:fldChar w:fldCharType="end"/>
      </w:r>
      <w:r>
        <w:rPr>
          <w:rStyle w:val="11"/>
          <w:rFonts w:hint="eastAsia" w:ascii="宋体" w:hAnsi="宋体" w:eastAsia="宋体" w:cs="宋体"/>
          <w:sz w:val="24"/>
          <w:lang w:eastAsia="zh-CN"/>
        </w:rPr>
        <w:t>，</w:t>
      </w:r>
      <w:r>
        <w:rPr>
          <w:rStyle w:val="11"/>
          <w:rFonts w:hint="eastAsia" w:ascii="宋体" w:hAnsi="宋体" w:eastAsia="宋体" w:cs="宋体"/>
          <w:sz w:val="24"/>
          <w:lang w:val="en-US" w:eastAsia="zh-CN"/>
        </w:rPr>
        <w:t>邮件主题和附件文件名以”公司名+投标“命名</w:t>
      </w:r>
      <w:r>
        <w:rPr>
          <w:rFonts w:hint="eastAsia" w:ascii="宋体" w:hAnsi="宋体" w:eastAsia="宋体" w:cs="宋体"/>
          <w:sz w:val="24"/>
        </w:rPr>
        <w:t>（截止时间</w:t>
      </w:r>
      <w:r>
        <w:rPr>
          <w:rFonts w:hint="eastAsia" w:asciiTheme="minorEastAsia" w:hAnsiTheme="minorEastAsia" w:cstheme="minorEastAsia"/>
          <w:sz w:val="24"/>
        </w:rPr>
        <w:t>2024年5月7日20：00）</w:t>
      </w:r>
    </w:p>
    <w:p>
      <w:pPr>
        <w:numPr>
          <w:ilvl w:val="0"/>
          <w:numId w:val="2"/>
        </w:numPr>
        <w:spacing w:line="440" w:lineRule="exact"/>
        <w:rPr>
          <w:rFonts w:ascii="宋体" w:hAnsi="宋体" w:eastAsia="宋体" w:cs="宋体"/>
          <w:sz w:val="24"/>
        </w:rPr>
      </w:pPr>
      <w:r>
        <w:rPr>
          <w:rFonts w:hint="eastAsia" w:ascii="宋体" w:hAnsi="宋体" w:eastAsia="宋体" w:cs="宋体"/>
          <w:sz w:val="24"/>
        </w:rPr>
        <w:t>业务咨询联系人：何思欣15815816987，李诗欣13822546383。</w:t>
      </w:r>
    </w:p>
    <w:p>
      <w:pPr>
        <w:spacing w:line="440" w:lineRule="exact"/>
        <w:rPr>
          <w:rFonts w:ascii="宋体" w:hAnsi="宋体" w:eastAsia="宋体" w:cs="宋体"/>
          <w:sz w:val="24"/>
        </w:rPr>
      </w:pPr>
    </w:p>
    <w:p>
      <w:pPr>
        <w:numPr>
          <w:ilvl w:val="0"/>
          <w:numId w:val="1"/>
        </w:numPr>
        <w:spacing w:line="440" w:lineRule="exact"/>
        <w:rPr>
          <w:rFonts w:ascii="宋体" w:hAnsi="宋体" w:eastAsia="宋体" w:cs="宋体"/>
          <w:sz w:val="24"/>
        </w:rPr>
      </w:pPr>
      <w:r>
        <w:rPr>
          <w:rFonts w:ascii="宋体" w:hAnsi="宋体" w:eastAsia="宋体" w:cs="宋体"/>
          <w:sz w:val="24"/>
        </w:rPr>
        <w:t>其他要求</w:t>
      </w:r>
    </w:p>
    <w:p>
      <w:pPr>
        <w:numPr>
          <w:ilvl w:val="0"/>
          <w:numId w:val="6"/>
        </w:numPr>
        <w:spacing w:line="440" w:lineRule="exact"/>
        <w:rPr>
          <w:rFonts w:ascii="宋体" w:hAnsi="宋体" w:eastAsia="宋体" w:cs="宋体"/>
          <w:sz w:val="24"/>
        </w:rPr>
      </w:pPr>
      <w:r>
        <w:rPr>
          <w:rFonts w:ascii="宋体" w:hAnsi="宋体" w:eastAsia="宋体" w:cs="宋体"/>
          <w:sz w:val="24"/>
        </w:rPr>
        <w:t>招标期间凡出现围标、串标、悔标、扰乱投标秩序等，以及贿赂我方招标人员的，没收投标保证金，取消投标资格</w:t>
      </w:r>
      <w:r>
        <w:rPr>
          <w:rFonts w:hint="eastAsia" w:ascii="宋体" w:hAnsi="宋体" w:eastAsia="宋体" w:cs="宋体"/>
          <w:sz w:val="24"/>
        </w:rPr>
        <w:t>。</w:t>
      </w:r>
    </w:p>
    <w:p>
      <w:pPr>
        <w:numPr>
          <w:ilvl w:val="0"/>
          <w:numId w:val="6"/>
        </w:numPr>
        <w:spacing w:line="440" w:lineRule="exact"/>
        <w:rPr>
          <w:rFonts w:ascii="宋体" w:hAnsi="宋体" w:eastAsia="宋体" w:cs="宋体"/>
          <w:sz w:val="24"/>
        </w:rPr>
      </w:pPr>
      <w:r>
        <w:rPr>
          <w:rFonts w:ascii="宋体" w:hAnsi="宋体" w:eastAsia="宋体" w:cs="宋体"/>
          <w:sz w:val="24"/>
        </w:rPr>
        <w:t>中标后，未按规定时间足额交纳合同保证金的，均视为悔标行为，没收相应中标客户投标保证金。</w:t>
      </w:r>
    </w:p>
    <w:p>
      <w:pPr>
        <w:numPr>
          <w:ilvl w:val="0"/>
          <w:numId w:val="6"/>
        </w:numPr>
        <w:spacing w:line="440" w:lineRule="exact"/>
        <w:rPr>
          <w:rFonts w:ascii="宋体" w:hAnsi="宋体" w:eastAsia="宋体" w:cs="宋体"/>
          <w:sz w:val="24"/>
        </w:rPr>
      </w:pPr>
      <w:r>
        <w:rPr>
          <w:rFonts w:ascii="宋体" w:hAnsi="宋体" w:eastAsia="宋体" w:cs="宋体"/>
          <w:sz w:val="24"/>
        </w:rPr>
        <w:t>中标</w:t>
      </w:r>
      <w:r>
        <w:rPr>
          <w:rFonts w:hint="eastAsia" w:ascii="宋体" w:hAnsi="宋体" w:eastAsia="宋体" w:cs="宋体"/>
          <w:sz w:val="24"/>
        </w:rPr>
        <w:t>人</w:t>
      </w:r>
      <w:r>
        <w:rPr>
          <w:rFonts w:ascii="宋体" w:hAnsi="宋体" w:eastAsia="宋体" w:cs="宋体"/>
          <w:sz w:val="24"/>
        </w:rPr>
        <w:t>不遵守投标文件的要约、承诺，擅自修改投标文件的内容或在接到中标通知书规定的时间内，借故拖延、拒签合同或未足额交纳合同保证金者，取消该投标人的中标资格并没收投标保证金。</w:t>
      </w:r>
    </w:p>
    <w:p>
      <w:pPr>
        <w:numPr>
          <w:ilvl w:val="-1"/>
          <w:numId w:val="0"/>
        </w:numPr>
        <w:spacing w:line="440" w:lineRule="exact"/>
        <w:rPr>
          <w:rFonts w:ascii="宋体" w:hAnsi="宋体" w:eastAsia="宋体" w:cs="宋体"/>
          <w:sz w:val="24"/>
        </w:rPr>
      </w:pPr>
    </w:p>
    <w:p>
      <w:pPr>
        <w:numPr>
          <w:ilvl w:val="255"/>
          <w:numId w:val="0"/>
        </w:numPr>
        <w:spacing w:line="440" w:lineRule="exact"/>
        <w:rPr>
          <w:rFonts w:ascii="宋体" w:hAnsi="宋体" w:eastAsia="宋体" w:cs="宋体"/>
          <w:sz w:val="24"/>
          <w:lang w:eastAsia="zh-Hans"/>
        </w:rPr>
      </w:pPr>
      <w:r>
        <w:rPr>
          <w:rFonts w:hint="eastAsia" w:ascii="宋体" w:hAnsi="宋体" w:eastAsia="宋体" w:cs="宋体"/>
          <w:sz w:val="24"/>
          <w:lang w:eastAsia="zh-Hans"/>
        </w:rPr>
        <w:t>六、附件：《运输合同版本文件》</w:t>
      </w:r>
    </w:p>
    <w:p>
      <w:pPr>
        <w:spacing w:line="440" w:lineRule="exact"/>
        <w:rPr>
          <w:rFonts w:ascii="宋体" w:hAnsi="宋体" w:eastAsia="宋体" w:cs="宋体"/>
          <w:sz w:val="24"/>
        </w:rPr>
      </w:pPr>
    </w:p>
    <w:p>
      <w:pPr>
        <w:spacing w:line="440" w:lineRule="exact"/>
        <w:jc w:val="right"/>
        <w:rPr>
          <w:rFonts w:ascii="宋体" w:hAnsi="宋体" w:eastAsia="宋体" w:cs="宋体"/>
          <w:sz w:val="24"/>
        </w:rPr>
      </w:pPr>
      <w:r>
        <w:rPr>
          <w:rFonts w:hint="eastAsia" w:ascii="宋体" w:hAnsi="宋体" w:eastAsia="宋体" w:cs="宋体"/>
          <w:sz w:val="24"/>
        </w:rPr>
        <w:t>欧泰贡（广东）食品有限公司</w:t>
      </w:r>
    </w:p>
    <w:p>
      <w:pPr>
        <w:spacing w:line="440" w:lineRule="exact"/>
        <w:jc w:val="right"/>
        <w:rPr>
          <w:rFonts w:hint="eastAsia" w:ascii="宋体" w:hAnsi="宋体" w:eastAsia="宋体" w:cs="宋体"/>
          <w:sz w:val="24"/>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sz w:val="24"/>
        </w:rPr>
        <w:t>2024年4月24日</w:t>
      </w:r>
    </w:p>
    <w:p>
      <w:pPr>
        <w:jc w:val="left"/>
        <w:rPr>
          <w:b/>
          <w:bCs/>
          <w:sz w:val="44"/>
          <w:szCs w:val="44"/>
        </w:rPr>
      </w:pPr>
      <w:r>
        <w:rPr>
          <w:rFonts w:hint="eastAsia" w:ascii="宋体" w:hAnsi="宋体" w:eastAsia="宋体" w:cs="宋体"/>
          <w:sz w:val="24"/>
          <w:lang w:eastAsia="zh-Hans"/>
        </w:rPr>
        <w:t>附件：《运输合同版本文件》</w:t>
      </w:r>
    </w:p>
    <w:p>
      <w:pPr>
        <w:jc w:val="center"/>
        <w:rPr>
          <w:b/>
          <w:bCs/>
          <w:sz w:val="44"/>
          <w:szCs w:val="44"/>
        </w:rPr>
      </w:pPr>
    </w:p>
    <w:p>
      <w:pPr>
        <w:jc w:val="center"/>
        <w:rPr>
          <w:b/>
          <w:bCs/>
          <w:sz w:val="44"/>
          <w:szCs w:val="44"/>
        </w:rPr>
      </w:pPr>
    </w:p>
    <w:p>
      <w:pPr>
        <w:jc w:val="center"/>
        <w:rPr>
          <w:b/>
          <w:bCs/>
          <w:sz w:val="44"/>
          <w:szCs w:val="44"/>
        </w:rPr>
      </w:pPr>
    </w:p>
    <w:p>
      <w:pPr>
        <w:rPr>
          <w:b/>
          <w:bCs/>
          <w:sz w:val="44"/>
          <w:szCs w:val="44"/>
        </w:rPr>
      </w:pPr>
    </w:p>
    <w:p>
      <w:pPr>
        <w:rPr>
          <w:b/>
          <w:bCs/>
          <w:sz w:val="44"/>
          <w:szCs w:val="44"/>
        </w:rPr>
      </w:pPr>
    </w:p>
    <w:p>
      <w:pPr>
        <w:rPr>
          <w:b/>
          <w:bCs/>
          <w:sz w:val="44"/>
          <w:szCs w:val="44"/>
        </w:rPr>
      </w:pPr>
    </w:p>
    <w:p>
      <w:pPr>
        <w:jc w:val="center"/>
        <w:rPr>
          <w:b/>
          <w:bCs/>
          <w:sz w:val="52"/>
          <w:szCs w:val="52"/>
        </w:rPr>
      </w:pPr>
      <w:r>
        <w:rPr>
          <w:rFonts w:hint="eastAsia"/>
          <w:b/>
          <w:bCs/>
          <w:sz w:val="52"/>
          <w:szCs w:val="52"/>
        </w:rPr>
        <w:t>物流运输服务合同</w:t>
      </w:r>
    </w:p>
    <w:p>
      <w:pPr>
        <w:rPr>
          <w:szCs w:val="21"/>
        </w:rPr>
      </w:pPr>
    </w:p>
    <w:p>
      <w:pPr>
        <w:rPr>
          <w:szCs w:val="21"/>
        </w:rPr>
      </w:pPr>
    </w:p>
    <w:p>
      <w:pPr>
        <w:rPr>
          <w:b/>
          <w:bCs/>
          <w:sz w:val="28"/>
          <w:szCs w:val="28"/>
        </w:rPr>
      </w:pPr>
    </w:p>
    <w:p>
      <w:pPr>
        <w:rPr>
          <w:rFonts w:ascii="宋体" w:hAnsi="宋体" w:cs="宋体"/>
          <w:b/>
          <w:bCs/>
          <w:sz w:val="28"/>
          <w:szCs w:val="28"/>
        </w:rPr>
      </w:pPr>
    </w:p>
    <w:p>
      <w:pPr>
        <w:rPr>
          <w:b/>
          <w:bCs/>
          <w:sz w:val="28"/>
          <w:szCs w:val="28"/>
        </w:rPr>
      </w:pPr>
    </w:p>
    <w:p>
      <w:pPr>
        <w:rPr>
          <w:szCs w:val="21"/>
        </w:rPr>
      </w:pPr>
    </w:p>
    <w:p>
      <w:pPr>
        <w:rPr>
          <w:szCs w:val="21"/>
        </w:rPr>
      </w:pPr>
    </w:p>
    <w:p>
      <w:pPr>
        <w:rPr>
          <w:szCs w:val="21"/>
        </w:rPr>
      </w:pPr>
    </w:p>
    <w:p>
      <w:pPr>
        <w:rPr>
          <w:szCs w:val="21"/>
        </w:rPr>
      </w:pPr>
    </w:p>
    <w:p>
      <w:pPr>
        <w:tabs>
          <w:tab w:val="right" w:pos="11056"/>
        </w:tabs>
        <w:spacing w:line="360" w:lineRule="auto"/>
        <w:rPr>
          <w:rFonts w:asciiTheme="minorEastAsia" w:hAnsiTheme="minorEastAsia" w:eastAsiaTheme="minorEastAsia" w:cstheme="minorEastAsia"/>
          <w:sz w:val="24"/>
          <w:szCs w:val="24"/>
        </w:rPr>
      </w:pPr>
    </w:p>
    <w:p>
      <w:pPr>
        <w:tabs>
          <w:tab w:val="right" w:pos="11056"/>
        </w:tabs>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z w:val="24"/>
          <w:szCs w:val="24"/>
          <w:u w:val="single"/>
        </w:rPr>
        <w:t>欧泰贡（广东）食品有限公司</w:t>
      </w:r>
      <w:r>
        <w:rPr>
          <w:rFonts w:hint="eastAsia" w:asciiTheme="minorEastAsia" w:hAnsiTheme="minorEastAsia" w:eastAsiaTheme="minorEastAsia" w:cstheme="minorEastAsia"/>
          <w:sz w:val="24"/>
          <w:szCs w:val="24"/>
        </w:rPr>
        <w:tab/>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p>
    <w:p>
      <w:pPr>
        <w:tabs>
          <w:tab w:val="right" w:pos="11056"/>
        </w:tabs>
        <w:spacing w:line="360" w:lineRule="auto"/>
        <w:rPr>
          <w:rFonts w:asciiTheme="minorEastAsia" w:hAnsiTheme="minorEastAsia" w:eastAsiaTheme="minorEastAsia" w:cstheme="minorEastAsia"/>
          <w:sz w:val="24"/>
          <w:szCs w:val="24"/>
        </w:rPr>
      </w:pPr>
    </w:p>
    <w:p>
      <w:pPr>
        <w:widowControl/>
        <w:jc w:val="left"/>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br w:type="page"/>
      </w:r>
    </w:p>
    <w:p>
      <w:pPr>
        <w:tabs>
          <w:tab w:val="right" w:pos="11056"/>
        </w:tabs>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z w:val="24"/>
          <w:szCs w:val="24"/>
          <w:u w:val="single"/>
        </w:rPr>
        <w:t>欧泰贡（广东）食品有限公司</w:t>
      </w:r>
      <w:r>
        <w:rPr>
          <w:rFonts w:hint="eastAsia" w:asciiTheme="minorEastAsia" w:hAnsiTheme="minorEastAsia" w:eastAsiaTheme="minorEastAsia" w:cstheme="minorEastAsia"/>
          <w:sz w:val="24"/>
          <w:szCs w:val="24"/>
        </w:rPr>
        <w:tab/>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p>
    <w:p>
      <w:pPr>
        <w:spacing w:line="360" w:lineRule="auto"/>
        <w:rPr>
          <w:rFonts w:asciiTheme="minorEastAsia" w:hAnsiTheme="minorEastAsia" w:eastAsiaTheme="minorEastAsia" w:cstheme="minorEastAsia"/>
          <w:sz w:val="24"/>
          <w:szCs w:val="24"/>
        </w:rPr>
      </w:pPr>
    </w:p>
    <w:p>
      <w:pPr>
        <w:spacing w:line="360" w:lineRule="auto"/>
        <w:ind w:firstLine="360" w:firstLineChars="150"/>
        <w:outlineLvl w:val="0"/>
        <w:rPr>
          <w:rFonts w:ascii="宋体" w:hAnsi="宋体"/>
          <w:sz w:val="24"/>
        </w:rPr>
      </w:pPr>
      <w:r>
        <w:rPr>
          <w:rFonts w:hint="eastAsia" w:ascii="宋体" w:hAnsi="宋体" w:cs="宋体"/>
          <w:sz w:val="24"/>
        </w:rPr>
        <w:t>根据《中华人民共和国民法典》及相关法律法规，</w:t>
      </w:r>
      <w:r>
        <w:rPr>
          <w:rFonts w:hint="eastAsia" w:ascii="宋体" w:hAnsi="宋体"/>
          <w:sz w:val="24"/>
        </w:rPr>
        <w:t>经双方友好协商，本着自愿、平等协商一致的原则，</w:t>
      </w:r>
      <w:r>
        <w:rPr>
          <w:rFonts w:hint="eastAsia" w:ascii="宋体" w:hAnsi="宋体" w:cs="宋体"/>
          <w:sz w:val="24"/>
        </w:rPr>
        <w:t>现乙方为甲方提供运输、配送等物流相关服务，签订本合同</w:t>
      </w:r>
      <w:r>
        <w:rPr>
          <w:rFonts w:hint="eastAsia" w:ascii="宋体" w:hAnsi="宋体" w:cs="宋体"/>
          <w:sz w:val="24"/>
          <w:szCs w:val="24"/>
        </w:rPr>
        <w:t>以资共同遵照履行</w:t>
      </w:r>
      <w:r>
        <w:rPr>
          <w:rFonts w:hint="eastAsia" w:ascii="宋体" w:hAnsi="宋体"/>
          <w:sz w:val="24"/>
        </w:rPr>
        <w:t>。</w:t>
      </w:r>
    </w:p>
    <w:p>
      <w:pPr>
        <w:pStyle w:val="14"/>
        <w:numPr>
          <w:ilvl w:val="0"/>
          <w:numId w:val="7"/>
        </w:numPr>
        <w:spacing w:line="360" w:lineRule="auto"/>
        <w:ind w:firstLineChars="0"/>
        <w:outlineLvl w:val="0"/>
        <w:rPr>
          <w:rFonts w:ascii="宋体" w:hAnsi="宋体"/>
          <w:b/>
          <w:sz w:val="24"/>
        </w:rPr>
      </w:pPr>
      <w:r>
        <w:rPr>
          <w:rFonts w:hint="eastAsia" w:ascii="宋体" w:hAnsi="宋体"/>
          <w:b/>
          <w:sz w:val="24"/>
        </w:rPr>
        <w:t>概述</w:t>
      </w:r>
    </w:p>
    <w:p>
      <w:pPr>
        <w:spacing w:line="360" w:lineRule="auto"/>
        <w:ind w:firstLine="360" w:firstLineChars="150"/>
        <w:outlineLvl w:val="0"/>
        <w:rPr>
          <w:rFonts w:ascii="宋体" w:hAnsi="宋体"/>
          <w:sz w:val="24"/>
        </w:rPr>
      </w:pPr>
      <w:r>
        <w:rPr>
          <w:rFonts w:hint="eastAsia" w:ascii="宋体" w:hAnsi="宋体"/>
          <w:sz w:val="24"/>
        </w:rPr>
        <w:t>本合同为主合同，</w:t>
      </w:r>
      <w:r>
        <w:rPr>
          <w:rFonts w:hint="eastAsia" w:asciiTheme="minorEastAsia" w:hAnsiTheme="minorEastAsia" w:eastAsiaTheme="minorEastAsia" w:cstheme="minorEastAsia"/>
          <w:sz w:val="24"/>
          <w:szCs w:val="24"/>
        </w:rPr>
        <w:t>甲方可以选择不同的服务种类并签署附件服务条款。主合同与附件服务条款不一致的，以附件服务条款为准</w:t>
      </w:r>
      <w:r>
        <w:rPr>
          <w:rFonts w:hint="eastAsia" w:ascii="宋体" w:hAnsi="宋体" w:cs="宋体"/>
          <w:sz w:val="24"/>
        </w:rPr>
        <w:t>。</w:t>
      </w:r>
    </w:p>
    <w:p>
      <w:pPr>
        <w:spacing w:line="360" w:lineRule="auto"/>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二、合同期限</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本合同有效期为  年 月 日至年 月   日止。合同期满，双方协商一致续签的，另行协商并签署书面合同。如双方无异议，合同自动顺延一年。</w:t>
      </w:r>
    </w:p>
    <w:p>
      <w:pPr>
        <w:spacing w:line="360" w:lineRule="auto"/>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三、服务内容</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3.1乙方提供的服务包括：货物运输、配送，甲方如有其它委托业务需求时，需与乙方另行协商。</w:t>
      </w:r>
    </w:p>
    <w:p>
      <w:pPr>
        <w:kinsoku w:val="0"/>
        <w:spacing w:line="360" w:lineRule="auto"/>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sz w:val="24"/>
          <w:szCs w:val="24"/>
        </w:rPr>
        <w:t>3.2乙方为甲方提供运输或配送服务的车辆，按照合同约定将甲方货</w:t>
      </w:r>
      <w:r>
        <w:rPr>
          <w:rFonts w:hint="eastAsia" w:asciiTheme="minorEastAsia" w:hAnsiTheme="minorEastAsia" w:eastAsiaTheme="minorEastAsia" w:cstheme="minorEastAsia"/>
          <w:color w:val="000000" w:themeColor="text1"/>
          <w:sz w:val="24"/>
          <w:szCs w:val="24"/>
          <w14:textFill>
            <w14:solidFill>
              <w14:schemeClr w14:val="tx1"/>
            </w14:solidFill>
          </w14:textFill>
        </w:rPr>
        <w:t>物按送货和收货要求安全送达收货方指定的地址；如收货人有新的送货需求的且货物已送至原本指定的地址，则送货费另议。每次送达货物后乙方应提供收货回执给甲方，收货人签收且乙方提供签收回执方为完成服务。</w:t>
      </w:r>
    </w:p>
    <w:p>
      <w:pPr>
        <w:spacing w:line="360" w:lineRule="auto"/>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四、收费标准与费用结算方式</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4.1货品计费标准如下：</w:t>
      </w:r>
    </w:p>
    <w:p>
      <w:pPr>
        <w:spacing w:line="360" w:lineRule="auto"/>
        <w:rPr>
          <w:rFonts w:asciiTheme="minorEastAsia" w:hAnsiTheme="minorEastAsia" w:eastAsiaTheme="minorEastAsia" w:cstheme="minorEastAsia"/>
          <w:sz w:val="24"/>
          <w:szCs w:val="24"/>
        </w:rPr>
      </w:pPr>
      <w:r>
        <w:rPr>
          <w:rFonts w:hint="eastAsia" w:ascii="宋体" w:hAnsi="宋体"/>
          <w:sz w:val="24"/>
          <w:szCs w:val="24"/>
        </w:rPr>
        <w:t>以货物实际体积或重量为标准，如</w:t>
      </w:r>
      <w:r>
        <w:rPr>
          <w:rFonts w:hint="eastAsia" w:asciiTheme="minorEastAsia" w:hAnsiTheme="minorEastAsia" w:eastAsiaTheme="minorEastAsia" w:cstheme="minorEastAsia"/>
          <w:sz w:val="24"/>
          <w:szCs w:val="24"/>
        </w:rPr>
        <w:t>根据货品外箱标示的毛重重量计算，</w:t>
      </w:r>
      <w:r>
        <w:rPr>
          <w:rFonts w:hint="eastAsia" w:ascii="宋体" w:hAnsi="宋体"/>
          <w:sz w:val="24"/>
          <w:szCs w:val="24"/>
        </w:rPr>
        <w:t>若在操作中有疑义，可在甲方与乙方双方现场人员的共同测量下，根据实际测量重新约定</w:t>
      </w:r>
      <w:r>
        <w:rPr>
          <w:rFonts w:hint="eastAsia" w:asciiTheme="minorEastAsia" w:hAnsiTheme="minorEastAsia" w:eastAsiaTheme="minorEastAsia" w:cstheme="minorEastAsia"/>
          <w:sz w:val="24"/>
          <w:szCs w:val="24"/>
        </w:rPr>
        <w:t>。</w:t>
      </w:r>
    </w:p>
    <w:p>
      <w:pPr>
        <w:tabs>
          <w:tab w:val="left" w:pos="180"/>
        </w:tabs>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4.2运输价格</w:t>
      </w:r>
      <w:r>
        <w:rPr>
          <w:rFonts w:hint="eastAsia" w:ascii="宋体" w:hAnsi="宋体" w:cs="宋体"/>
          <w:color w:val="000000" w:themeColor="text1"/>
          <w:sz w:val="24"/>
          <w14:textFill>
            <w14:solidFill>
              <w14:schemeClr w14:val="tx1"/>
            </w14:solidFill>
          </w14:textFill>
        </w:rPr>
        <w:t>收费标准，</w:t>
      </w:r>
      <w:r>
        <w:rPr>
          <w:rFonts w:hint="eastAsia" w:asciiTheme="minorEastAsia" w:hAnsiTheme="minorEastAsia" w:eastAsiaTheme="minorEastAsia" w:cstheme="minorEastAsia"/>
          <w:color w:val="000000" w:themeColor="text1"/>
          <w:sz w:val="24"/>
          <w:szCs w:val="24"/>
          <w14:textFill>
            <w14:solidFill>
              <w14:schemeClr w14:val="tx1"/>
            </w14:solidFill>
          </w14:textFill>
        </w:rPr>
        <w:t>按乙方提供并经甲方书面同意的报价标准</w:t>
      </w:r>
      <w:r>
        <w:rPr>
          <w:rFonts w:hint="eastAsia" w:ascii="宋体" w:hAnsi="宋体" w:cs="宋体"/>
          <w:color w:val="000000" w:themeColor="text1"/>
          <w:sz w:val="24"/>
          <w14:textFill>
            <w14:solidFill>
              <w14:schemeClr w14:val="tx1"/>
            </w14:solidFill>
          </w14:textFill>
        </w:rPr>
        <w:t>（含税价格）</w:t>
      </w:r>
      <w:r>
        <w:rPr>
          <w:rFonts w:hint="eastAsia" w:asciiTheme="minorEastAsia" w:hAnsiTheme="minorEastAsia" w:eastAsiaTheme="minorEastAsia" w:cstheme="minorEastAsia"/>
          <w:color w:val="000000" w:themeColor="text1"/>
          <w:sz w:val="24"/>
          <w:szCs w:val="24"/>
          <w14:textFill>
            <w14:solidFill>
              <w14:schemeClr w14:val="tx1"/>
            </w14:solidFill>
          </w14:textFill>
        </w:rPr>
        <w:t>收</w:t>
      </w:r>
      <w:r>
        <w:rPr>
          <w:rFonts w:hint="eastAsia" w:ascii="宋体" w:hAnsi="宋体" w:cs="宋体"/>
          <w:color w:val="000000" w:themeColor="text1"/>
          <w:sz w:val="24"/>
          <w14:textFill>
            <w14:solidFill>
              <w14:schemeClr w14:val="tx1"/>
            </w14:solidFill>
          </w14:textFill>
        </w:rPr>
        <w:t>取，有特殊情况，按双方送货前约定价格结算。</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4.4结算付款方式</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4.4.1结算周期：以自然月为结算周期。</w:t>
      </w:r>
    </w:p>
    <w:p>
      <w:pPr>
        <w:spacing w:line="360" w:lineRule="auto"/>
        <w:rPr>
          <w:rFonts w:hint="eastAsia" w:eastAsia="宋体"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t>4.4.2对帐期：次月</w:t>
      </w:r>
      <w:r>
        <w:rPr>
          <w:rFonts w:asciiTheme="minorEastAsia" w:hAnsiTheme="minorEastAsia" w:eastAsiaTheme="minorEastAsia" w:cstheme="minorEastAsia"/>
          <w:sz w:val="24"/>
          <w:szCs w:val="24"/>
          <w:u w:val="single"/>
        </w:rPr>
        <w:t>1</w:t>
      </w:r>
      <w:r>
        <w:rPr>
          <w:rFonts w:hint="eastAsia" w:asciiTheme="minorEastAsia" w:hAnsiTheme="minorEastAsia" w:eastAsiaTheme="minorEastAsia" w:cstheme="minorEastAsia"/>
          <w:sz w:val="24"/>
          <w:szCs w:val="24"/>
        </w:rPr>
        <w:t>日至次月</w:t>
      </w:r>
      <w:r>
        <w:rPr>
          <w:rFonts w:asciiTheme="minorEastAsia" w:hAnsiTheme="minorEastAsia" w:eastAsiaTheme="minorEastAsia" w:cstheme="minorEastAsia"/>
          <w:sz w:val="24"/>
          <w:szCs w:val="24"/>
          <w:u w:val="single"/>
        </w:rPr>
        <w:t>10</w:t>
      </w:r>
      <w:r>
        <w:rPr>
          <w:rFonts w:hint="eastAsia" w:asciiTheme="minorEastAsia" w:hAnsiTheme="minorEastAsia" w:eastAsiaTheme="minorEastAsia" w:cstheme="minorEastAsia"/>
          <w:sz w:val="24"/>
          <w:szCs w:val="24"/>
          <w:u w:val="single"/>
        </w:rPr>
        <w:t>日</w:t>
      </w:r>
      <w:r>
        <w:rPr>
          <w:rFonts w:hint="eastAsia" w:asciiTheme="minorEastAsia" w:hAnsiTheme="minorEastAsia" w:eastAsiaTheme="minorEastAsia" w:cstheme="minorEastAsia"/>
          <w:sz w:val="24"/>
          <w:szCs w:val="24"/>
        </w:rPr>
        <w:t>前双方对上一自然月的物流运输费用进行对账，</w:t>
      </w:r>
      <w:r>
        <w:rPr>
          <w:rFonts w:hint="eastAsia" w:asciiTheme="minorEastAsia" w:hAnsiTheme="minorEastAsia" w:eastAsiaTheme="minorEastAsia" w:cstheme="minorEastAsia"/>
          <w:color w:val="000000" w:themeColor="text1"/>
          <w:sz w:val="24"/>
          <w:szCs w:val="24"/>
          <w14:textFill>
            <w14:solidFill>
              <w14:schemeClr w14:val="tx1"/>
            </w14:solidFill>
          </w14:textFill>
        </w:rPr>
        <w:t>甲方核对无误后，乙</w:t>
      </w:r>
      <w:r>
        <w:rPr>
          <w:rFonts w:hint="eastAsia" w:asciiTheme="minorEastAsia" w:hAnsiTheme="minorEastAsia" w:eastAsiaTheme="minorEastAsia" w:cstheme="minorEastAsia"/>
          <w:sz w:val="24"/>
          <w:szCs w:val="24"/>
        </w:rPr>
        <w:t>方按照对账总额向甲方开具对应合规的增值税专用发票，如因乙方未能提供约定发票的，则甲方有权顺延付款并不视为违约，乙方仍应按合同约定履行义务。</w:t>
      </w:r>
      <w:r>
        <w:rPr>
          <w:rFonts w:ascii="宋体" w:hAnsi="宋体" w:eastAsia="宋体" w:cs="宋体"/>
          <w:color w:val="auto"/>
          <w:sz w:val="24"/>
          <w:szCs w:val="24"/>
        </w:rPr>
        <w:t>乙方开具的发票应为增值税专用发票，</w:t>
      </w:r>
      <w:r>
        <w:rPr>
          <w:rFonts w:ascii="宋体" w:hAnsi="宋体" w:eastAsia="宋体" w:cs="宋体"/>
          <w:color w:val="auto"/>
          <w:sz w:val="24"/>
          <w:szCs w:val="24"/>
          <w:u w:val="single"/>
        </w:rPr>
        <w:t>税率为</w:t>
      </w:r>
      <w:r>
        <w:rPr>
          <w:rFonts w:hint="eastAsia" w:ascii="宋体" w:hAnsi="宋体" w:cs="宋体"/>
          <w:color w:val="auto"/>
          <w:sz w:val="24"/>
          <w:szCs w:val="24"/>
          <w:u w:val="single"/>
          <w:lang w:val="en-US" w:eastAsia="zh-CN"/>
        </w:rPr>
        <w:t>9</w:t>
      </w:r>
      <w:r>
        <w:rPr>
          <w:rFonts w:ascii="宋体" w:hAnsi="宋体" w:eastAsia="宋体" w:cs="宋体"/>
          <w:color w:val="auto"/>
          <w:sz w:val="24"/>
          <w:szCs w:val="24"/>
          <w:u w:val="single"/>
        </w:rPr>
        <w:t>%</w:t>
      </w:r>
      <w:r>
        <w:rPr>
          <w:rFonts w:ascii="宋体" w:hAnsi="宋体" w:eastAsia="宋体" w:cs="宋体"/>
          <w:color w:val="auto"/>
          <w:sz w:val="24"/>
          <w:szCs w:val="24"/>
        </w:rPr>
        <w:t>。如因国家税率政策调整，最终价格将依据不含税价和新税率重新核算。若乙方开具的发票不规范、不合法、涉嫌虚开或无法通过税务认证抵扣，乙方需继续履行开具合法可抵扣发票的义务，并支付未通过认证税款金额作为违约金。若</w:t>
      </w:r>
      <w:r>
        <w:rPr>
          <w:rFonts w:hint="eastAsia" w:ascii="宋体" w:hAnsi="宋体" w:cs="宋体"/>
          <w:color w:val="auto"/>
          <w:sz w:val="24"/>
          <w:szCs w:val="24"/>
          <w:lang w:val="en-US" w:eastAsia="zh-CN"/>
        </w:rPr>
        <w:t>乙方</w:t>
      </w:r>
      <w:r>
        <w:rPr>
          <w:rFonts w:ascii="宋体" w:hAnsi="宋体" w:eastAsia="宋体" w:cs="宋体"/>
          <w:color w:val="auto"/>
          <w:sz w:val="24"/>
          <w:szCs w:val="24"/>
        </w:rPr>
        <w:t>不继续履行开具合法可抵扣发票的义务，须承担对应发票税额的2倍违约责任</w:t>
      </w:r>
      <w:r>
        <w:rPr>
          <w:rFonts w:hint="eastAsia" w:ascii="宋体" w:hAnsi="宋体" w:cs="宋体"/>
          <w:color w:val="auto"/>
          <w:sz w:val="24"/>
          <w:szCs w:val="24"/>
          <w:lang w:eastAsia="zh-CN"/>
        </w:rPr>
        <w:t>。</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4.4.3付款期：甲方收到发票后</w:t>
      </w:r>
      <w:r>
        <w:rPr>
          <w:rFonts w:asciiTheme="minorEastAsia" w:hAnsiTheme="minorEastAsia" w:eastAsiaTheme="minorEastAsia" w:cstheme="minorEastAsia"/>
          <w:sz w:val="24"/>
          <w:szCs w:val="24"/>
          <w:u w:val="single"/>
        </w:rPr>
        <w:t xml:space="preserve">5 </w:t>
      </w:r>
      <w:r>
        <w:rPr>
          <w:rFonts w:hint="eastAsia" w:asciiTheme="minorEastAsia" w:hAnsiTheme="minorEastAsia" w:eastAsiaTheme="minorEastAsia" w:cstheme="minorEastAsia"/>
          <w:sz w:val="24"/>
          <w:szCs w:val="24"/>
        </w:rPr>
        <w:t>个工作日内付款到乙方指定的有效账号。</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4.5结算币种：人民币(RMB) ；结算方式：转账。甲方根据乙方提供的指定收款账号支付费用给乙方，若有变更须书面通知甲方。</w:t>
      </w:r>
    </w:p>
    <w:p>
      <w:pPr>
        <w:spacing w:line="360" w:lineRule="auto"/>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 xml:space="preserve">4.6 </w:t>
      </w:r>
      <w:r>
        <w:rPr>
          <w:rFonts w:hint="eastAsia" w:asciiTheme="minorEastAsia" w:hAnsiTheme="minorEastAsia" w:eastAsiaTheme="minorEastAsia" w:cstheme="minorEastAsia"/>
          <w:sz w:val="24"/>
          <w:szCs w:val="24"/>
        </w:rPr>
        <w:t>乙方存在违约行为的，甲方有权中止履行付款义务，且不承担违约责任。</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b/>
          <w:bCs/>
          <w:sz w:val="24"/>
          <w:szCs w:val="24"/>
        </w:rPr>
        <w:t>乙方指定收款账号：</w:t>
      </w:r>
    </w:p>
    <w:p>
      <w:pPr>
        <w:spacing w:line="360" w:lineRule="auto"/>
        <w:jc w:val="left"/>
        <w:rPr>
          <w:rFonts w:ascii="宋体" w:hAnsi="宋体" w:cs="宋体"/>
          <w:sz w:val="24"/>
          <w:u w:val="single"/>
        </w:rPr>
      </w:pPr>
      <w:r>
        <w:rPr>
          <w:rFonts w:hint="eastAsia" w:ascii="宋体" w:hAnsi="宋体" w:cs="宋体"/>
          <w:color w:val="000000"/>
          <w:sz w:val="24"/>
        </w:rPr>
        <w:t>收款名称：</w:t>
      </w:r>
      <w:r>
        <w:rPr>
          <w:rFonts w:hint="eastAsia" w:ascii="宋体" w:hAnsi="宋体" w:cs="宋体"/>
          <w:color w:val="000000"/>
          <w:sz w:val="24"/>
        </w:rPr>
        <w:br w:type="textWrapping"/>
      </w:r>
      <w:r>
        <w:rPr>
          <w:rFonts w:hint="eastAsia" w:ascii="宋体" w:hAnsi="宋体" w:cs="宋体"/>
          <w:color w:val="000000"/>
          <w:sz w:val="24"/>
        </w:rPr>
        <w:t xml:space="preserve">开户银行: </w:t>
      </w:r>
      <w:r>
        <w:rPr>
          <w:rFonts w:hint="eastAsia" w:ascii="宋体" w:hAnsi="宋体" w:cs="宋体"/>
          <w:color w:val="000000"/>
          <w:sz w:val="24"/>
        </w:rPr>
        <w:br w:type="textWrapping"/>
      </w:r>
      <w:r>
        <w:rPr>
          <w:rFonts w:hint="eastAsia" w:ascii="宋体" w:hAnsi="宋体" w:cs="宋体"/>
          <w:color w:val="000000"/>
          <w:sz w:val="24"/>
        </w:rPr>
        <w:t>银行账号:</w:t>
      </w:r>
    </w:p>
    <w:p>
      <w:pPr>
        <w:spacing w:line="360" w:lineRule="auto"/>
        <w:jc w:val="left"/>
        <w:rPr>
          <w:rFonts w:ascii="宋体" w:hAnsi="宋体" w:cs="宋体"/>
          <w:color w:val="000000"/>
          <w:sz w:val="24"/>
          <w:highlight w:val="yellow"/>
          <w:u w:val="single"/>
        </w:rPr>
      </w:pPr>
      <w:r>
        <w:rPr>
          <w:rFonts w:hint="eastAsia" w:ascii="宋体" w:hAnsi="宋体" w:cs="宋体"/>
          <w:color w:val="000000"/>
          <w:sz w:val="24"/>
        </w:rPr>
        <w:t>税号：</w:t>
      </w:r>
    </w:p>
    <w:p>
      <w:pPr>
        <w:spacing w:line="360" w:lineRule="auto"/>
        <w:outlineLvl w:val="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r>
        <w:rPr>
          <w:rFonts w:asciiTheme="minorEastAsia" w:hAnsiTheme="minorEastAsia" w:eastAsiaTheme="minorEastAsia" w:cstheme="minorEastAsia"/>
          <w:bCs/>
          <w:sz w:val="24"/>
          <w:szCs w:val="24"/>
        </w:rPr>
        <w:t>7</w:t>
      </w:r>
      <w:r>
        <w:rPr>
          <w:rFonts w:hint="eastAsia" w:asciiTheme="minorEastAsia" w:hAnsiTheme="minorEastAsia" w:eastAsiaTheme="minorEastAsia" w:cstheme="minorEastAsia"/>
          <w:bCs/>
          <w:sz w:val="24"/>
          <w:szCs w:val="24"/>
        </w:rPr>
        <w:t>其他约定</w:t>
      </w:r>
    </w:p>
    <w:p>
      <w:pPr>
        <w:spacing w:line="360" w:lineRule="auto"/>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asciiTheme="minorEastAsia" w:hAnsiTheme="minorEastAsia" w:eastAsiaTheme="minorEastAsia" w:cstheme="minorEastAsia"/>
          <w:sz w:val="24"/>
          <w:szCs w:val="24"/>
        </w:rPr>
        <w:t>7.1</w:t>
      </w:r>
      <w:r>
        <w:rPr>
          <w:rFonts w:hint="eastAsia" w:asciiTheme="minorEastAsia" w:hAnsiTheme="minorEastAsia" w:eastAsiaTheme="minorEastAsia" w:cstheme="minorEastAsia"/>
          <w:sz w:val="24"/>
          <w:szCs w:val="24"/>
        </w:rPr>
        <w:t>乙方对甲方的违约金、赔偿金以及乙方应当承担的费用，甲方有权从应付费用中抵扣。</w:t>
      </w:r>
    </w:p>
    <w:p>
      <w:pPr>
        <w:spacing w:line="360" w:lineRule="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t>.</w:t>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如甲方逾期未付清乙方费用的，乙方有权终止为甲方提供服务，直至甲方付清拖欠的费用为止。</w:t>
      </w:r>
    </w:p>
    <w:p>
      <w:pPr>
        <w:spacing w:line="360" w:lineRule="auto"/>
        <w:outlineLvl w:val="0"/>
        <w:rPr>
          <w:rFonts w:hint="eastAsia" w:asciiTheme="minorEastAsia" w:hAnsiTheme="minorEastAsia" w:eastAsiaTheme="minorEastAsia" w:cstheme="minorEastAsia"/>
          <w:sz w:val="24"/>
          <w:szCs w:val="24"/>
        </w:rPr>
      </w:pPr>
    </w:p>
    <w:p>
      <w:pPr>
        <w:pStyle w:val="14"/>
        <w:numPr>
          <w:ilvl w:val="0"/>
          <w:numId w:val="8"/>
        </w:numPr>
        <w:spacing w:line="360" w:lineRule="auto"/>
        <w:ind w:firstLineChars="0"/>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甲方权利</w:t>
      </w:r>
      <w:r>
        <w:rPr>
          <w:rFonts w:hint="eastAsia" w:asciiTheme="minorEastAsia" w:hAnsiTheme="minorEastAsia" w:cstheme="minorEastAsia"/>
          <w:b/>
          <w:bCs/>
          <w:sz w:val="24"/>
          <w:szCs w:val="24"/>
          <w:lang w:val="en-US" w:eastAsia="zh-CN"/>
        </w:rPr>
        <w:t>和</w:t>
      </w:r>
      <w:r>
        <w:rPr>
          <w:rFonts w:hint="eastAsia" w:asciiTheme="minorEastAsia" w:hAnsiTheme="minorEastAsia" w:eastAsiaTheme="minorEastAsia" w:cstheme="minorEastAsia"/>
          <w:b/>
          <w:bCs/>
          <w:sz w:val="24"/>
          <w:szCs w:val="24"/>
        </w:rPr>
        <w:t>义务</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5.1甲方保证托运货物符合相关法律法规，国家或行业标准的要求，对于食品，乙方要求的，甲方应提供相关生产、经营资质文件和产品合格证、</w:t>
      </w:r>
      <w:r>
        <w:rPr>
          <w:rFonts w:asciiTheme="minorEastAsia" w:hAnsiTheme="minorEastAsia" w:eastAsiaTheme="minorEastAsia" w:cstheme="minorEastAsia"/>
          <w:sz w:val="24"/>
          <w:szCs w:val="24"/>
        </w:rPr>
        <w:t>动物检疫合格证明</w:t>
      </w:r>
      <w:r>
        <w:rPr>
          <w:rFonts w:hint="eastAsia" w:asciiTheme="minorEastAsia" w:hAnsiTheme="minorEastAsia" w:eastAsiaTheme="minorEastAsia" w:cstheme="minorEastAsia"/>
          <w:sz w:val="24"/>
          <w:szCs w:val="24"/>
        </w:rPr>
        <w:t>、中华人民共和国海关进口货物报关单（如有）。</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5.2甲方托运、存储货品需办理审批、检验等手续的，甲方应当将办理完有关手续的证明文件提交乙方，因甲方未提供相关的手续证明文件而产生的损失由甲方承担。</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甲方应按照国家或行业标准包装货物，没有国家或行业包装标准的，应在乙方指导下按保证货物运输安全的原则进行包装，如货物对包装、码放、存储等有特殊要求，甲方应事先告知乙方，乙方予以配合，因乙方不配合，导致货物损坏的，责任由乙方负责向甲方赔偿。</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5.4由于甲方将违反法律法规的产品交給乙方运输、配送，造成乙方运输、配送货物过程中被有关部门查处的，由甲方承担相关的法律责任及乙方经济损失。</w:t>
      </w:r>
    </w:p>
    <w:p>
      <w:pPr>
        <w:spacing w:line="360" w:lineRule="auto"/>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5.5甲方托运货物，应提前</w:t>
      </w:r>
      <w:r>
        <w:rPr>
          <w:rFonts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t>小时向乙方提供货物清单和系统操作指令，指令包含货物品名、规格、数量、生产日期、准确的收货地址、收货人信息等，乙方按照甲方指令进行收发安排，如乙方在接收货物过程中发现货物内容、数量与甲方提供的指令或货物清单不符，经联系甲方但甲方未作出处理的，乙方有权拒收货物，所造成的损失由甲方承担。</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5.6甲方对运输的临时变动需求应提前</w:t>
      </w:r>
      <w:r>
        <w:rPr>
          <w:rFonts w:asciiTheme="minorEastAsia" w:hAnsiTheme="minorEastAsia" w:eastAsiaTheme="minorEastAsia" w:cstheme="minorEastAsia"/>
          <w:sz w:val="24"/>
          <w:szCs w:val="24"/>
          <w:u w:val="single"/>
        </w:rPr>
        <w:t xml:space="preserve"> 4 </w:t>
      </w:r>
      <w:r>
        <w:rPr>
          <w:rFonts w:hint="eastAsia" w:asciiTheme="minorEastAsia" w:hAnsiTheme="minorEastAsia" w:eastAsiaTheme="minorEastAsia" w:cstheme="minorEastAsia"/>
          <w:sz w:val="24"/>
          <w:szCs w:val="24"/>
        </w:rPr>
        <w:t>小时通知乙方，因甲方未按约定提前通知而造成的损失由甲方承担。</w:t>
      </w:r>
    </w:p>
    <w:p>
      <w:pPr>
        <w:spacing w:line="360" w:lineRule="auto"/>
        <w:outlineLvl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5.7 甲方应在每天</w:t>
      </w:r>
      <w:r>
        <w:rPr>
          <w:rFonts w:hint="eastAsia" w:asciiTheme="minorEastAsia" w:hAnsiTheme="minorEastAsia" w:eastAsiaTheme="minorEastAsia" w:cstheme="minorEastAsia"/>
          <w:sz w:val="24"/>
          <w:szCs w:val="24"/>
          <w:u w:val="single"/>
        </w:rPr>
        <w:t>1</w:t>
      </w:r>
      <w:r>
        <w:rPr>
          <w:rFonts w:asciiTheme="minorEastAsia" w:hAnsiTheme="minorEastAsia" w:eastAsiaTheme="minorEastAsia" w:cstheme="minorEastAsia"/>
          <w:sz w:val="24"/>
          <w:szCs w:val="24"/>
          <w:u w:val="single"/>
        </w:rPr>
        <w:t>8</w:t>
      </w:r>
      <w:r>
        <w:rPr>
          <w:rFonts w:hint="eastAsia" w:asciiTheme="minorEastAsia" w:hAnsiTheme="minorEastAsia" w:eastAsiaTheme="minorEastAsia" w:cstheme="minorEastAsia"/>
          <w:sz w:val="24"/>
          <w:szCs w:val="24"/>
          <w:u w:val="single"/>
        </w:rPr>
        <w:t>：00</w:t>
      </w:r>
      <w:r>
        <w:rPr>
          <w:rFonts w:hint="eastAsia" w:asciiTheme="minorEastAsia" w:hAnsiTheme="minorEastAsia" w:eastAsiaTheme="minorEastAsia" w:cstheme="minorEastAsia"/>
          <w:sz w:val="24"/>
          <w:szCs w:val="24"/>
        </w:rPr>
        <w:t>前将甲方次日运输安排及配货情况书面通知乙方。</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5.8 甲方将配送通知发送给乙方后，甲方需更变到货地址或收货人，或者取消配送，应在货物未发出前通知乙方。若货物已发出，甲方需承担往返运费及装卸费（如有）等其他由此而产生的实际费用。但乙方应当予以配合和协助，避免损失扩大。</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5.9货物到达送货地址后，卸车由甲方负责或甲方指定的收货人提供，甲方应与收货人提前协调到货事宜，协助乙方衔接指定的收货人收货，需要由乙方提供装卸服务的，乙方有权收取装卸服务费。</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5.10乙方接受甲方托运货物事宜后，若乙方在货物送达现场发生交付异常状况，乙方应主动联系甲方联系人异常事务处理人，甲方异常事务处理人指导并协助乙方安排处理。</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5.11 因甲方指令错误或产品质量问题，造成乙方承运货物到达指定运送地点后收货人拒收，所产生的费用由甲方支付，与当月运费一起结算。</w:t>
      </w:r>
    </w:p>
    <w:p>
      <w:pPr>
        <w:spacing w:line="360" w:lineRule="auto"/>
        <w:textAlignment w:val="center"/>
        <w:rPr>
          <w:rFonts w:hint="eastAsia" w:ascii="宋体" w:hAnsi="宋体"/>
          <w:sz w:val="24"/>
        </w:rPr>
      </w:pPr>
      <w:r>
        <w:rPr>
          <w:rFonts w:hint="eastAsia" w:ascii="宋体" w:hAnsi="宋体" w:cs="宋体"/>
          <w:bCs/>
          <w:sz w:val="24"/>
          <w:szCs w:val="24"/>
        </w:rPr>
        <w:t>5</w:t>
      </w:r>
      <w:r>
        <w:rPr>
          <w:rFonts w:hint="eastAsia" w:ascii="宋体" w:hAnsi="宋体" w:cs="宋体"/>
          <w:bCs/>
          <w:sz w:val="24"/>
        </w:rPr>
        <w:t>.12 乙方关于</w:t>
      </w:r>
      <w:r>
        <w:rPr>
          <w:rFonts w:hint="eastAsia" w:ascii="宋体" w:hAnsi="宋体"/>
          <w:sz w:val="24"/>
        </w:rPr>
        <w:t>国家法定节假</w:t>
      </w:r>
      <w:r>
        <w:rPr>
          <w:rFonts w:ascii="宋体" w:hAnsi="宋体"/>
          <w:sz w:val="24"/>
        </w:rPr>
        <w:t>日</w:t>
      </w:r>
      <w:r>
        <w:rPr>
          <w:rFonts w:hint="eastAsia" w:ascii="宋体" w:hAnsi="宋体"/>
          <w:sz w:val="24"/>
        </w:rPr>
        <w:t>的放假通知应至少提前1</w:t>
      </w:r>
      <w:r>
        <w:rPr>
          <w:rFonts w:ascii="宋体" w:hAnsi="宋体"/>
          <w:sz w:val="24"/>
        </w:rPr>
        <w:t>5</w:t>
      </w:r>
      <w:r>
        <w:rPr>
          <w:rFonts w:hint="eastAsia" w:ascii="宋体" w:hAnsi="宋体"/>
          <w:sz w:val="24"/>
        </w:rPr>
        <w:t>天书面通知甲方，以便甲方合理安排货物进出库，若无则默认正常出入库，如放假期间甲方有特殊出货需求，应提前</w:t>
      </w:r>
      <w:r>
        <w:rPr>
          <w:rFonts w:hint="eastAsia" w:ascii="宋体" w:hAnsi="宋体"/>
          <w:sz w:val="24"/>
          <w:u w:val="single"/>
        </w:rPr>
        <w:t>48</w:t>
      </w:r>
      <w:r>
        <w:rPr>
          <w:rFonts w:hint="eastAsia" w:ascii="宋体" w:hAnsi="宋体"/>
          <w:sz w:val="24"/>
        </w:rPr>
        <w:t>小时与乙方协商，乙方予以配合。</w:t>
      </w:r>
    </w:p>
    <w:p>
      <w:pPr>
        <w:spacing w:line="360" w:lineRule="auto"/>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甲方指定的异常事务处理人（姓名：</w:t>
      </w:r>
      <w:r>
        <w:rPr>
          <w:rFonts w:hint="eastAsia" w:asciiTheme="minorEastAsia" w:hAnsiTheme="minorEastAsia" w:eastAsiaTheme="minorEastAsia" w:cstheme="minorEastAsia"/>
          <w:sz w:val="24"/>
          <w:szCs w:val="24"/>
          <w:u w:val="single"/>
        </w:rPr>
        <w:t>何思欣</w:t>
      </w:r>
      <w:r>
        <w:rPr>
          <w:rFonts w:asciiTheme="minorEastAsia" w:hAnsiTheme="minorEastAsia" w:eastAsiaTheme="minorEastAsia" w:cstheme="minorEastAsia"/>
          <w:sz w:val="24"/>
          <w:szCs w:val="24"/>
          <w:u w:val="single"/>
        </w:rPr>
        <w:t>15815816987</w:t>
      </w:r>
      <w:r>
        <w:rPr>
          <w:rFonts w:hint="eastAsia" w:asciiTheme="minorEastAsia" w:hAnsiTheme="minorEastAsia" w:eastAsiaTheme="minorEastAsia" w:cstheme="minorEastAsia"/>
          <w:sz w:val="24"/>
          <w:szCs w:val="24"/>
          <w:u w:val="single"/>
        </w:rPr>
        <w:t>，</w:t>
      </w:r>
      <w:r>
        <w:rPr>
          <w:rFonts w:asciiTheme="minorEastAsia" w:hAnsiTheme="minorEastAsia" w:eastAsiaTheme="minorEastAsia" w:cstheme="minorEastAsia"/>
          <w:sz w:val="24"/>
          <w:szCs w:val="24"/>
          <w:u w:val="single"/>
        </w:rPr>
        <w:t>李诗欣</w:t>
      </w:r>
      <w:r>
        <w:rPr>
          <w:rFonts w:hint="eastAsia" w:asciiTheme="minorEastAsia" w:hAnsiTheme="minorEastAsia" w:eastAsiaTheme="minorEastAsia" w:cstheme="minorEastAsia"/>
          <w:sz w:val="24"/>
          <w:szCs w:val="24"/>
          <w:u w:val="single"/>
        </w:rPr>
        <w:t>13822546383</w:t>
      </w:r>
      <w:r>
        <w:rPr>
          <w:rFonts w:hint="eastAsia" w:asciiTheme="minorEastAsia" w:hAnsiTheme="minorEastAsia" w:eastAsiaTheme="minorEastAsia" w:cstheme="minorEastAsia"/>
          <w:bCs/>
          <w:sz w:val="24"/>
          <w:szCs w:val="24"/>
        </w:rPr>
        <w:t>），如</w:t>
      </w:r>
      <w:r>
        <w:rPr>
          <w:rFonts w:hint="eastAsia" w:asciiTheme="minorEastAsia" w:hAnsiTheme="minorEastAsia" w:eastAsiaTheme="minorEastAsia" w:cstheme="minorEastAsia"/>
          <w:sz w:val="24"/>
          <w:szCs w:val="24"/>
        </w:rPr>
        <w:t>乙方在交付中出现异常并在交付现场联系甲方联系人后，甲方应在尽快给与乙方明确的异常处理指令。</w:t>
      </w:r>
    </w:p>
    <w:p>
      <w:pPr>
        <w:spacing w:line="360" w:lineRule="auto"/>
        <w:textAlignment w:val="center"/>
        <w:rPr>
          <w:rFonts w:hint="eastAsia" w:asciiTheme="minorEastAsia" w:hAnsiTheme="minorEastAsia" w:eastAsiaTheme="minorEastAsia" w:cstheme="minorEastAsia"/>
          <w:sz w:val="24"/>
          <w:szCs w:val="24"/>
        </w:rPr>
      </w:pPr>
    </w:p>
    <w:p>
      <w:pPr>
        <w:spacing w:line="360" w:lineRule="auto"/>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六、乙方权利和义务</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乙方有权按相关国家规定及本合同条款，将甲方货物通过物流服务方式送达收货方，收货人签收单据并向甲方提供签收回执即完成服务义务。</w:t>
      </w:r>
    </w:p>
    <w:p>
      <w:pPr>
        <w:spacing w:line="360" w:lineRule="auto"/>
        <w:rPr>
          <w:rFonts w:asciiTheme="minorEastAsia" w:hAnsiTheme="minorEastAsia" w:eastAsiaTheme="minorEastAsia" w:cstheme="minorEastAsia"/>
          <w:strike/>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6.</w:t>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 xml:space="preserve"> 乙方有权对甲方到货进行测温，当车温或货温温度高于-12度且经立即联系甲方，甲</w:t>
      </w:r>
      <w:r>
        <w:rPr>
          <w:rFonts w:hint="eastAsia" w:asciiTheme="minorEastAsia" w:hAnsiTheme="minorEastAsia" w:eastAsiaTheme="minorEastAsia" w:cstheme="minorEastAsia"/>
          <w:color w:val="000000" w:themeColor="text1"/>
          <w:sz w:val="24"/>
          <w:szCs w:val="24"/>
          <w14:textFill>
            <w14:solidFill>
              <w14:schemeClr w14:val="tx1"/>
            </w14:solidFill>
          </w14:textFill>
        </w:rPr>
        <w:t>方未作出处理的，乙方有权拒收。</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 xml:space="preserve"> 乙方有权依法对货物开箱验视，如发现货物属于或含有禁运物品，乙方有权拒收。乙方承运前应对货物外包装进行检查，包装不足以保护货物的，乙方应书面告知甲方整改。</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 xml:space="preserve"> 乙方将货物送往甲方指</w:t>
      </w:r>
      <w:r>
        <w:rPr>
          <w:rFonts w:asciiTheme="minorEastAsia" w:hAnsiTheme="minorEastAsia" w:eastAsiaTheme="minorEastAsia" w:cstheme="minorEastAsia"/>
          <w:sz w:val="24"/>
          <w:szCs w:val="24"/>
        </w:rPr>
        <w:t>定</w:t>
      </w:r>
      <w:r>
        <w:rPr>
          <w:rFonts w:hint="eastAsia" w:asciiTheme="minorEastAsia" w:hAnsiTheme="minorEastAsia" w:eastAsiaTheme="minorEastAsia" w:cstheme="minorEastAsia"/>
          <w:sz w:val="24"/>
          <w:szCs w:val="24"/>
        </w:rPr>
        <w:t>的目的地，交与甲方指定的收货人签收并取得有效签收单据交回甲方。</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t>乙方应按甲方需求提供车体完好的冷藏运输车辆（能打冷到-18°）或常温运输车辆，冷藏运输车辆必须是全封闭厢式冷藏货车，适合承运甲方货物满足甲方货品对温度的要求和货物的安全要求，在运输过程中保证货物和包装的完好。若因特殊情况需要使用常温车辆，乙方应主动向甲方进行通知，在征得甲方书面认可后方可使用。</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t xml:space="preserve"> 乙方应对货物在途安全负责，如因乙方运输、保管不当、装卸导致货物丢失、损坏、毁损、灭失的，乙方应当按货物销售价格向甲方全额赔偿，造成甲方其他损失的，乙方仍应赔偿。</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t xml:space="preserve"> 在配送过程中，运送车辆以及配送货物的风险由乙方自行承担。因乙方违反交通规则而受到罚款、扣证、扣车等出罚或交通肇事，由乙方自行承担。</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t>由于乙方人为原因造成（漏装、错装、错发等）的损失，由乙方负责及时解决相应运输问题，运输费用、装卸费用等由乙方承担。如因乙方原因温度或者时效未达要求，造成甲方货物被拒收或影响正常销售，乙方应承担所产生的费用并赔偿甲方损失。</w:t>
      </w:r>
      <w:r>
        <w:rPr>
          <w:rFonts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6.</w:t>
      </w:r>
      <w:r>
        <w:rPr>
          <w:rFonts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t>若因甲方在委托乙方运输时下达指令不准确造成乙方车辆短途提、送货空跑，或由于甲方收货人原因造成乙方车辆空跑时，甲方应支付因上述原因产生的费用，与当月运费一起结算。</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w:t>
      </w:r>
      <w:r>
        <w:rPr>
          <w:rFonts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rPr>
        <w:t>收货人因对货物有异议或其他原因拒收货物时，乙方应在第一时间通知甲方指定联系人，由甲方协助乙方处理，乙方根据甲方的要求进行下一步的操作，若因乙方原因造成对货物拒收，乙方应承担所产生的费用</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并赔偿甲方的经济损失, </w:t>
      </w:r>
      <w:r>
        <w:rPr>
          <w:rFonts w:hint="eastAsia" w:asciiTheme="minorEastAsia" w:hAnsiTheme="minorEastAsia" w:eastAsiaTheme="minorEastAsia" w:cstheme="minorEastAsia"/>
          <w:sz w:val="24"/>
          <w:szCs w:val="24"/>
        </w:rPr>
        <w:t>非乙方原因收货人对货物拒收，所产生的费用和损失由甲方承担。</w:t>
      </w:r>
    </w:p>
    <w:p>
      <w:pPr>
        <w:pStyle w:val="15"/>
        <w:spacing w:line="360" w:lineRule="auto"/>
        <w:ind w:firstLine="0" w:firstLineChars="0"/>
        <w:rPr>
          <w:rFonts w:ascii="宋体" w:hAnsi="宋体" w:cs="Times New Roman"/>
          <w:color w:val="000000"/>
          <w:sz w:val="24"/>
          <w:szCs w:val="24"/>
        </w:rPr>
      </w:pPr>
      <w:r>
        <w:rPr>
          <w:rFonts w:hint="eastAsia" w:asciiTheme="minorEastAsia" w:hAnsiTheme="minorEastAsia" w:eastAsiaTheme="minorEastAsia" w:cstheme="minorEastAsia"/>
          <w:sz w:val="24"/>
          <w:szCs w:val="24"/>
        </w:rPr>
        <w:t>6</w:t>
      </w:r>
      <w:r>
        <w:rPr>
          <w:rFonts w:asciiTheme="minorEastAsia" w:hAnsiTheme="minorEastAsia" w:eastAsiaTheme="minorEastAsia" w:cstheme="minorEastAsia"/>
          <w:sz w:val="24"/>
          <w:szCs w:val="24"/>
        </w:rPr>
        <w:t>.11</w:t>
      </w:r>
      <w:r>
        <w:rPr>
          <w:rFonts w:hint="eastAsia" w:ascii="宋体" w:hAnsi="宋体" w:cs="Times New Roman"/>
          <w:color w:val="000000"/>
          <w:sz w:val="24"/>
          <w:szCs w:val="24"/>
        </w:rPr>
        <w:t>乙方不得将本合同项下服务全部或部分转由第三方提供。</w:t>
      </w:r>
    </w:p>
    <w:p>
      <w:pPr>
        <w:pStyle w:val="15"/>
        <w:spacing w:line="360" w:lineRule="auto"/>
        <w:ind w:firstLine="0" w:firstLineChars="0"/>
        <w:rPr>
          <w:rFonts w:ascii="宋体" w:hAnsi="宋体" w:cs="宋体"/>
          <w:color w:val="252525"/>
          <w:sz w:val="24"/>
        </w:rPr>
      </w:pPr>
      <w:r>
        <w:rPr>
          <w:rFonts w:ascii="宋体" w:hAnsi="宋体" w:cs="Times New Roman"/>
          <w:color w:val="000000"/>
          <w:sz w:val="24"/>
          <w:szCs w:val="24"/>
        </w:rPr>
        <w:t>6</w:t>
      </w:r>
      <w:r>
        <w:rPr>
          <w:rFonts w:hint="eastAsia" w:ascii="宋体" w:hAnsi="宋体" w:cs="Times New Roman"/>
          <w:color w:val="000000"/>
          <w:sz w:val="24"/>
          <w:szCs w:val="24"/>
        </w:rPr>
        <w:t>.1</w:t>
      </w:r>
      <w:r>
        <w:rPr>
          <w:rFonts w:ascii="宋体" w:hAnsi="宋体" w:cs="Times New Roman"/>
          <w:color w:val="000000"/>
          <w:sz w:val="24"/>
          <w:szCs w:val="24"/>
        </w:rPr>
        <w:t>2</w:t>
      </w:r>
      <w:r>
        <w:rPr>
          <w:rFonts w:hint="eastAsia" w:ascii="宋体" w:hAnsi="宋体" w:cs="宋体"/>
          <w:color w:val="000000"/>
          <w:sz w:val="24"/>
        </w:rPr>
        <w:t>乙方指定的异常事务处理人（姓名：</w:t>
      </w:r>
      <w:r>
        <w:rPr>
          <w:rFonts w:hint="eastAsia" w:ascii="宋体" w:hAnsi="宋体" w:cs="宋体"/>
          <w:bCs/>
          <w:color w:val="000000"/>
          <w:sz w:val="24"/>
        </w:rPr>
        <w:t>电话：）保证其24小时电话畅通，以便甲方沟通</w:t>
      </w:r>
      <w:r>
        <w:rPr>
          <w:rFonts w:hint="eastAsia" w:ascii="宋体" w:hAnsi="宋体" w:cs="宋体"/>
          <w:color w:val="252525"/>
          <w:sz w:val="24"/>
        </w:rPr>
        <w:t>。</w:t>
      </w:r>
    </w:p>
    <w:p>
      <w:pPr>
        <w:pStyle w:val="15"/>
        <w:spacing w:line="360" w:lineRule="auto"/>
        <w:ind w:firstLine="0" w:firstLineChars="0"/>
        <w:rPr>
          <w:rFonts w:ascii="宋体" w:hAnsi="宋体" w:cs="宋体"/>
          <w:color w:val="252525"/>
          <w:sz w:val="24"/>
        </w:rPr>
      </w:pPr>
      <w:r>
        <w:rPr>
          <w:rFonts w:ascii="宋体" w:hAnsi="宋体" w:cs="宋体"/>
          <w:color w:val="252525"/>
          <w:sz w:val="24"/>
        </w:rPr>
        <w:t>6.</w:t>
      </w:r>
      <w:r>
        <w:rPr>
          <w:rFonts w:hint="eastAsia" w:ascii="宋体" w:hAnsi="宋体" w:cs="宋体"/>
          <w:color w:val="252525"/>
          <w:sz w:val="24"/>
        </w:rPr>
        <w:t>1</w:t>
      </w:r>
      <w:r>
        <w:rPr>
          <w:rFonts w:ascii="宋体" w:hAnsi="宋体" w:cs="宋体"/>
          <w:color w:val="252525"/>
          <w:sz w:val="24"/>
        </w:rPr>
        <w:t>3</w:t>
      </w:r>
      <w:r>
        <w:rPr>
          <w:rFonts w:hint="eastAsia" w:ascii="宋体" w:hAnsi="宋体" w:cs="宋体"/>
          <w:color w:val="252525"/>
          <w:sz w:val="24"/>
        </w:rPr>
        <w:t>乙方应当协助甲方采取措施来弥补任何可挽救的损失。如该等损失因甲方原因产生，在双方同意的情况下，甲方应承担补救过程中所产生的相关费用，但因乙方原因产生的损失，乙方应承担所有相关费用，并且在无法补救的情况下，承担相应的赔偿责任。</w:t>
      </w:r>
    </w:p>
    <w:p>
      <w:pPr>
        <w:pStyle w:val="15"/>
        <w:spacing w:line="360" w:lineRule="auto"/>
        <w:ind w:firstLine="0" w:firstLineChars="0"/>
        <w:rPr>
          <w:rFonts w:ascii="宋体" w:hAnsi="宋体" w:cs="宋体"/>
          <w:color w:val="252525"/>
          <w:sz w:val="24"/>
        </w:rPr>
      </w:pPr>
      <w:r>
        <w:rPr>
          <w:rFonts w:ascii="宋体" w:hAnsi="宋体" w:cs="宋体"/>
          <w:color w:val="252525"/>
          <w:sz w:val="24"/>
        </w:rPr>
        <w:t>6.</w:t>
      </w:r>
      <w:r>
        <w:rPr>
          <w:rFonts w:hint="eastAsia" w:ascii="宋体" w:hAnsi="宋体" w:cs="宋体"/>
          <w:color w:val="252525"/>
          <w:sz w:val="24"/>
        </w:rPr>
        <w:t>1</w:t>
      </w:r>
      <w:r>
        <w:rPr>
          <w:rFonts w:ascii="宋体" w:hAnsi="宋体" w:cs="宋体"/>
          <w:color w:val="252525"/>
          <w:sz w:val="24"/>
        </w:rPr>
        <w:t>4</w:t>
      </w:r>
      <w:r>
        <w:rPr>
          <w:rFonts w:hint="eastAsia" w:ascii="宋体" w:hAnsi="宋体" w:cs="宋体"/>
          <w:color w:val="252525"/>
          <w:sz w:val="24"/>
        </w:rPr>
        <w:t>乙方人员不得出现私自拆箱、将甲方货物调包或企图隐瞒货物损坏等损害甲方权益的情况。</w:t>
      </w:r>
    </w:p>
    <w:p>
      <w:pPr>
        <w:rPr>
          <w:rFonts w:hint="eastAsia" w:ascii="宋体" w:hAnsi="宋体" w:cs="宋体"/>
          <w:color w:val="252525"/>
          <w:sz w:val="24"/>
        </w:rPr>
      </w:pPr>
      <w:r>
        <w:rPr>
          <w:rFonts w:ascii="宋体" w:hAnsi="宋体" w:cs="宋体"/>
          <w:color w:val="252525"/>
          <w:sz w:val="24"/>
        </w:rPr>
        <w:t>6.15</w:t>
      </w:r>
      <w:r>
        <w:rPr>
          <w:rFonts w:hint="eastAsia" w:ascii="宋体" w:hAnsi="宋体" w:cs="宋体"/>
          <w:color w:val="252525"/>
          <w:sz w:val="24"/>
        </w:rPr>
        <w:t>在甲方按合同约定时间通知乙方配送货物的，乙方应按甲方指定的时间配送，否则乙方须承担违约责任。</w:t>
      </w:r>
    </w:p>
    <w:p>
      <w:pPr>
        <w:rPr>
          <w:rFonts w:hint="eastAsia" w:ascii="宋体" w:hAnsi="宋体" w:cs="宋体"/>
          <w:color w:val="252525"/>
          <w:sz w:val="24"/>
        </w:rPr>
      </w:pPr>
      <w:r>
        <w:rPr>
          <w:rFonts w:hint="eastAsia" w:ascii="宋体" w:hAnsi="宋体" w:cs="宋体"/>
          <w:color w:val="252525"/>
          <w:sz w:val="24"/>
          <w:lang w:val="en-US" w:eastAsia="zh-CN"/>
        </w:rPr>
        <w:t xml:space="preserve">6.16 </w:t>
      </w:r>
      <w:r>
        <w:rPr>
          <w:rFonts w:hint="eastAsia" w:ascii="宋体" w:hAnsi="宋体" w:cs="宋体"/>
          <w:color w:val="252525"/>
          <w:sz w:val="24"/>
        </w:rPr>
        <w:t>每次结算付款前，乙方应向甲方提供合法有效的完税证明，否则甲方有权拒绝付款且不视为甲方违约。因乙方未提供完税证明导致甲方遭受损失的（包括但不限于甲方代为补缴的费用等），乙方须赔偿甲方的全部损失，且上述损失甲方可在应付乙方费用中先行扣除。</w:t>
      </w:r>
    </w:p>
    <w:p>
      <w:pPr>
        <w:rPr>
          <w:rFonts w:hint="default" w:ascii="宋体" w:hAnsi="宋体" w:cs="宋体"/>
          <w:color w:val="252525"/>
          <w:sz w:val="24"/>
          <w:lang w:val="en-US" w:eastAsia="zh-CN"/>
        </w:rPr>
      </w:pP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七、赔偿约定</w:t>
      </w:r>
    </w:p>
    <w:p>
      <w:pPr>
        <w:spacing w:line="360" w:lineRule="auto"/>
        <w:rPr>
          <w:rFonts w:asciiTheme="minorEastAsia" w:hAnsiTheme="minorEastAsia" w:eastAsiaTheme="minorEastAsia" w:cstheme="minorEastAsia"/>
          <w:color w:val="252525"/>
          <w:sz w:val="24"/>
          <w:szCs w:val="24"/>
        </w:rPr>
      </w:pPr>
      <w:r>
        <w:rPr>
          <w:rFonts w:hint="eastAsia" w:asciiTheme="minorEastAsia" w:hAnsiTheme="minorEastAsia" w:eastAsiaTheme="minorEastAsia" w:cstheme="minorEastAsia"/>
          <w:color w:val="252525"/>
          <w:sz w:val="24"/>
          <w:szCs w:val="24"/>
        </w:rPr>
        <w:t>7</w:t>
      </w:r>
      <w:r>
        <w:rPr>
          <w:rFonts w:asciiTheme="minorEastAsia" w:hAnsiTheme="minorEastAsia" w:eastAsiaTheme="minorEastAsia" w:cstheme="minorEastAsia"/>
          <w:color w:val="252525"/>
          <w:sz w:val="24"/>
          <w:szCs w:val="24"/>
        </w:rPr>
        <w:t>.1</w:t>
      </w:r>
      <w:r>
        <w:rPr>
          <w:rFonts w:hint="eastAsia" w:asciiTheme="minorEastAsia" w:hAnsiTheme="minorEastAsia" w:eastAsiaTheme="minorEastAsia" w:cstheme="minorEastAsia"/>
          <w:color w:val="252525"/>
          <w:sz w:val="24"/>
          <w:szCs w:val="24"/>
        </w:rPr>
        <w:t>货物运输过程中的一切风险均由乙方承担，造成甲方损失的，乙方负责赔偿。</w:t>
      </w:r>
    </w:p>
    <w:p>
      <w:pPr>
        <w:spacing w:line="360" w:lineRule="auto"/>
        <w:rPr>
          <w:rFonts w:hint="eastAsia" w:asciiTheme="minorEastAsia" w:hAnsiTheme="minorEastAsia" w:eastAsiaTheme="minorEastAsia" w:cstheme="minorEastAsia"/>
          <w:b/>
          <w:sz w:val="24"/>
          <w:szCs w:val="24"/>
        </w:rPr>
      </w:pP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八、违约责任</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 因乙方原因造成甲方货物丢失、短少、损坏、污染、变质、毁损、灭失及由此引起甲方的损失，乙方应当按货物销售价格向甲方全额赔偿，造成甲方其他损失的，乙方仍应赔偿。</w:t>
      </w:r>
    </w:p>
    <w:p>
      <w:pPr>
        <w:spacing w:line="360" w:lineRule="auto"/>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w:t>
      </w:r>
      <w:r>
        <w:rPr>
          <w:rFonts w:asciiTheme="minorEastAsia" w:hAnsiTheme="minorEastAsia" w:eastAsiaTheme="minorEastAsia" w:cstheme="minorEastAsia"/>
          <w:color w:val="000000" w:themeColor="text1"/>
          <w:sz w:val="24"/>
          <w:szCs w:val="24"/>
          <w14:textFill>
            <w14:solidFill>
              <w14:schemeClr w14:val="tx1"/>
            </w14:solidFill>
          </w14:textFill>
        </w:rPr>
        <w:t>6</w:t>
      </w:r>
      <w:r>
        <w:rPr>
          <w:rFonts w:hint="eastAsia" w:ascii="宋体" w:hAnsi="宋体"/>
          <w:color w:val="000000" w:themeColor="text1"/>
          <w:sz w:val="24"/>
          <w14:textFill>
            <w14:solidFill>
              <w14:schemeClr w14:val="tx1"/>
            </w14:solidFill>
          </w14:textFill>
        </w:rPr>
        <w:t>一</w:t>
      </w:r>
      <w:r>
        <w:rPr>
          <w:rFonts w:hint="eastAsia" w:ascii="宋体" w:hAnsi="宋体"/>
          <w:sz w:val="24"/>
        </w:rPr>
        <w:t>方违约的，责任方应赔偿对方因此而遭受的经济损失（包括但不限于货物销售价格金额、守约方向第三方赔付的违约金、赔偿金、补偿金、作出补救措施产生的费用以及主张权利产生的律师费、诉讼费、公证费、鉴定费、评估费等）。</w:t>
      </w:r>
    </w:p>
    <w:p>
      <w:pPr>
        <w:spacing w:line="360" w:lineRule="auto"/>
        <w:rPr>
          <w:rFonts w:hint="eastAsia" w:asciiTheme="minorEastAsia" w:hAnsiTheme="minorEastAsia" w:eastAsiaTheme="minorEastAsia" w:cstheme="minorEastAsia"/>
          <w:b/>
          <w:sz w:val="24"/>
          <w:szCs w:val="24"/>
        </w:rPr>
      </w:pP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九、免责条款</w:t>
      </w:r>
    </w:p>
    <w:p>
      <w:pPr>
        <w:spacing w:line="360" w:lineRule="auto"/>
        <w:rPr>
          <w:rFonts w:asciiTheme="minorEastAsia" w:hAnsiTheme="minorEastAsia" w:eastAsiaTheme="minorEastAsia" w:cstheme="minorEastAsia"/>
          <w:color w:val="252525"/>
          <w:sz w:val="24"/>
          <w:szCs w:val="24"/>
        </w:rPr>
      </w:pPr>
      <w:r>
        <w:rPr>
          <w:rFonts w:hint="eastAsia" w:asciiTheme="minorEastAsia" w:hAnsiTheme="minorEastAsia" w:eastAsiaTheme="minorEastAsia" w:cstheme="minorEastAsia"/>
          <w:color w:val="252525"/>
          <w:sz w:val="24"/>
          <w:szCs w:val="24"/>
        </w:rPr>
        <w:t>9.1 因下列原因造成托运物灭失、短少、损坏、污染、变质、过期延误的，乙方不承担赔偿责任</w:t>
      </w:r>
      <w:r>
        <w:rPr>
          <w:rFonts w:hint="eastAsia" w:ascii="宋体" w:hAnsi="宋体" w:cs="宋体"/>
          <w:color w:val="000000"/>
          <w:sz w:val="24"/>
        </w:rPr>
        <w:t>，但乙方有义务提前或及时通知甲方，并协助甲方进行补救</w:t>
      </w:r>
      <w:r>
        <w:rPr>
          <w:rFonts w:hint="eastAsia" w:asciiTheme="minorEastAsia" w:hAnsiTheme="minorEastAsia" w:eastAsiaTheme="minorEastAsia" w:cstheme="minorEastAsia"/>
          <w:color w:val="252525"/>
          <w:sz w:val="24"/>
          <w:szCs w:val="24"/>
        </w:rPr>
        <w:t>：</w:t>
      </w:r>
    </w:p>
    <w:p>
      <w:pPr>
        <w:spacing w:line="360" w:lineRule="auto"/>
        <w:rPr>
          <w:rFonts w:asciiTheme="minorEastAsia" w:hAnsiTheme="minorEastAsia" w:eastAsiaTheme="minorEastAsia" w:cstheme="minorEastAsia"/>
          <w:color w:val="252525"/>
          <w:sz w:val="24"/>
          <w:szCs w:val="24"/>
        </w:rPr>
      </w:pPr>
      <w:r>
        <w:rPr>
          <w:rFonts w:hint="eastAsia" w:asciiTheme="minorEastAsia" w:hAnsiTheme="minorEastAsia" w:eastAsiaTheme="minorEastAsia" w:cstheme="minorEastAsia"/>
          <w:color w:val="252525"/>
          <w:sz w:val="24"/>
          <w:szCs w:val="24"/>
        </w:rPr>
        <w:t>9.1.1 因不可抗拒因素造成的。不可抗拒因素是指无法预测、无法控制或无法避免的客观因素或意外事件，包括但不限于地震、泥石流、洪涝灾害等自然灾害；台风、暴风雨、雾霾等恶劣天气；罢工、恐怖事件、法规政策的修改、政府、司法机关的行为、决定或命令；抢劫、飞车抢夺等暴力犯罪；</w:t>
      </w:r>
    </w:p>
    <w:p>
      <w:pPr>
        <w:spacing w:line="360" w:lineRule="auto"/>
        <w:rPr>
          <w:rFonts w:asciiTheme="minorEastAsia" w:hAnsiTheme="minorEastAsia" w:eastAsiaTheme="minorEastAsia" w:cstheme="minorEastAsia"/>
          <w:color w:val="252525"/>
          <w:sz w:val="24"/>
          <w:szCs w:val="24"/>
        </w:rPr>
      </w:pPr>
      <w:r>
        <w:rPr>
          <w:rFonts w:hint="eastAsia" w:asciiTheme="minorEastAsia" w:hAnsiTheme="minorEastAsia" w:eastAsiaTheme="minorEastAsia" w:cstheme="minorEastAsia"/>
          <w:color w:val="252525"/>
          <w:sz w:val="24"/>
          <w:szCs w:val="24"/>
        </w:rPr>
        <w:t>9.1.2 因托运物的自然性质、内在缺陷或合理损耗造成的；</w:t>
      </w:r>
    </w:p>
    <w:p>
      <w:pPr>
        <w:spacing w:line="360" w:lineRule="auto"/>
        <w:rPr>
          <w:rFonts w:asciiTheme="minorEastAsia" w:hAnsiTheme="minorEastAsia" w:eastAsiaTheme="minorEastAsia" w:cstheme="minorEastAsia"/>
          <w:color w:val="252525"/>
          <w:sz w:val="24"/>
          <w:szCs w:val="24"/>
        </w:rPr>
      </w:pPr>
      <w:r>
        <w:rPr>
          <w:rFonts w:hint="eastAsia" w:asciiTheme="minorEastAsia" w:hAnsiTheme="minorEastAsia" w:eastAsiaTheme="minorEastAsia" w:cstheme="minorEastAsia"/>
          <w:color w:val="252525"/>
          <w:sz w:val="24"/>
          <w:szCs w:val="24"/>
        </w:rPr>
        <w:t>9.1.3 因甲方、收货人的自身过错造成的。</w:t>
      </w:r>
    </w:p>
    <w:p>
      <w:pPr>
        <w:spacing w:line="360" w:lineRule="auto"/>
        <w:outlineLvl w:val="0"/>
        <w:rPr>
          <w:rFonts w:hint="eastAsia" w:asciiTheme="minorEastAsia" w:hAnsiTheme="minorEastAsia" w:eastAsiaTheme="minorEastAsia" w:cstheme="minorEastAsia"/>
          <w:b/>
          <w:bCs/>
          <w:color w:val="000000"/>
          <w:sz w:val="24"/>
          <w:szCs w:val="24"/>
        </w:rPr>
      </w:pPr>
    </w:p>
    <w:p>
      <w:pPr>
        <w:spacing w:line="360" w:lineRule="auto"/>
        <w:outlineLvl w:val="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color w:val="000000"/>
          <w:sz w:val="24"/>
          <w:szCs w:val="24"/>
        </w:rPr>
        <w:t>十、争议解决方式</w:t>
      </w:r>
    </w:p>
    <w:p>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10.1 因合同及合同有关事项发生的争议，双方应本着诚实信用原则，通过友好协商解决。经协商仍无法达成</w:t>
      </w:r>
      <w:r>
        <w:rPr>
          <w:rFonts w:hint="eastAsia" w:asciiTheme="minorEastAsia" w:hAnsiTheme="minorEastAsia" w:eastAsiaTheme="minorEastAsia" w:cstheme="minorEastAsia"/>
          <w:sz w:val="24"/>
          <w:szCs w:val="24"/>
        </w:rPr>
        <w:t>一致的，任何一方可向甲方所在地</w:t>
      </w:r>
      <w:r>
        <w:rPr>
          <w:rFonts w:hint="eastAsia" w:asciiTheme="minorEastAsia" w:hAnsiTheme="minorEastAsia" w:eastAsiaTheme="minorEastAsia" w:cstheme="minorEastAsia"/>
          <w:color w:val="000000" w:themeColor="text1"/>
          <w:sz w:val="24"/>
          <w:szCs w:val="24"/>
          <w14:textFill>
            <w14:solidFill>
              <w14:schemeClr w14:val="tx1"/>
            </w14:solidFill>
          </w14:textFill>
        </w:rPr>
        <w:t>人民法院提起诉讼。</w:t>
      </w:r>
    </w:p>
    <w:p>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10.2  在争议解决期间，合同中未涉及争议部分的条款仍须履行。</w:t>
      </w:r>
    </w:p>
    <w:p>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10.3 本合同的订立、解释、履行及争议解决，均适用中华人民共和国法律。</w:t>
      </w:r>
    </w:p>
    <w:p>
      <w:pPr>
        <w:spacing w:line="360" w:lineRule="auto"/>
        <w:outlineLvl w:val="0"/>
        <w:rPr>
          <w:rFonts w:hint="eastAsia" w:asciiTheme="minorEastAsia" w:hAnsiTheme="minorEastAsia" w:eastAsiaTheme="minorEastAsia" w:cstheme="minorEastAsia"/>
          <w:b/>
          <w:bCs/>
          <w:color w:val="252525"/>
          <w:sz w:val="24"/>
          <w:szCs w:val="24"/>
        </w:rPr>
      </w:pPr>
    </w:p>
    <w:p>
      <w:pPr>
        <w:spacing w:line="360" w:lineRule="auto"/>
        <w:outlineLvl w:val="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color w:val="252525"/>
          <w:sz w:val="24"/>
          <w:szCs w:val="24"/>
        </w:rPr>
        <w:t>十一、保密条款</w:t>
      </w:r>
    </w:p>
    <w:p>
      <w:pPr>
        <w:spacing w:line="360" w:lineRule="auto"/>
        <w:rPr>
          <w:rFonts w:asciiTheme="minorEastAsia" w:hAnsiTheme="minorEastAsia" w:eastAsiaTheme="minorEastAsia" w:cstheme="minorEastAsia"/>
          <w:color w:val="252525"/>
          <w:sz w:val="24"/>
          <w:szCs w:val="24"/>
        </w:rPr>
      </w:pPr>
      <w:r>
        <w:rPr>
          <w:rFonts w:hint="eastAsia" w:asciiTheme="minorEastAsia" w:hAnsiTheme="minorEastAsia" w:eastAsiaTheme="minorEastAsia" w:cstheme="minorEastAsia"/>
          <w:color w:val="252525"/>
          <w:sz w:val="24"/>
          <w:szCs w:val="24"/>
        </w:rPr>
        <w:t>11.1 为完成合同合作事项，甲乙双方从对方获取的资料和相关商业秘密，双方负有保密义务，并且应采取合理的措施以使其所接受的资料免于被无关人员接触。</w:t>
      </w:r>
    </w:p>
    <w:p>
      <w:pPr>
        <w:spacing w:line="36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11.2 除本合同另有约定外，未经对方当事人同意的前提下，任一方当事人不得将本合同所确定的内容以及在履行本合同过程中获知的对方的经营信息向任何第三人披露；不得将本合同所确定的内容用于与本合同目的无关的事务上。同时，双方当事人对本方知悉本合同内容的员工、委托管理方等相关人员提出同样保密要求，并为其向相对方承担连带责任。</w:t>
      </w:r>
    </w:p>
    <w:p>
      <w:pPr>
        <w:spacing w:line="360" w:lineRule="auto"/>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11.3双方应以适当的方式告知并要求其参与本合同工作之雇员遵守保密条款。</w:t>
      </w:r>
    </w:p>
    <w:p>
      <w:pPr>
        <w:spacing w:line="360" w:lineRule="auto"/>
        <w:outlineLvl w:val="0"/>
        <w:rPr>
          <w:rFonts w:hint="eastAsia" w:asciiTheme="minorEastAsia" w:hAnsiTheme="minorEastAsia" w:eastAsiaTheme="minorEastAsia" w:cstheme="minorEastAsia"/>
          <w:color w:val="000000"/>
          <w:sz w:val="24"/>
          <w:szCs w:val="24"/>
        </w:rPr>
      </w:pPr>
    </w:p>
    <w:p>
      <w:pPr>
        <w:spacing w:line="360" w:lineRule="auto"/>
        <w:outlineLvl w:val="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color w:val="252525"/>
          <w:sz w:val="24"/>
          <w:szCs w:val="24"/>
        </w:rPr>
        <w:t>十二、合同的变更、终止与效力</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本合同有效期内，甲乙双方任何一方</w:t>
      </w:r>
      <w:r>
        <w:rPr>
          <w:rFonts w:hint="eastAsia" w:ascii="宋体" w:hAnsi="宋体" w:cs="宋体"/>
          <w:sz w:val="24"/>
        </w:rPr>
        <w:t>均有权提前解除</w:t>
      </w:r>
      <w:r>
        <w:rPr>
          <w:rFonts w:hint="eastAsia" w:asciiTheme="minorEastAsia" w:hAnsiTheme="minorEastAsia" w:eastAsiaTheme="minorEastAsia" w:cstheme="minorEastAsia"/>
          <w:sz w:val="24"/>
          <w:szCs w:val="24"/>
        </w:rPr>
        <w:t>合同，只需提前一个月书面通知对方不视为违约并在合同未正式解除前继续履行自身义务。</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 合同到期后，如双方未签订新合同，若双方仍然存在本合同内的业务合作，则相关费用按照本合同约定条款执行。</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 甲乙双方中任何一方在本合同执行期间发生任何法律关系变更，须提前一个月以书面形式通知对方。</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 甲乙双方中任何一方对本合同提出任何修改或补充意见，必须以书面形式通知另一方，并在双方协商同意后，方可对本合同进行修改。</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12.5 本合同一式肆份，甲方执贰份，乙方执贰份。本合同所列附件为本合同不可分割的组成部分，具有与该合同同等法律效力，如合同本文未尽详述的，附件作为补充；如附件所述内容与合同本文有差异时，则最终以合同本文为最后解释依据。</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12.6对于未尽事宜，甲乙双方经协商后以附件的形式体现，并与本合同具有同等效力。</w:t>
      </w:r>
    </w:p>
    <w:p>
      <w:pPr>
        <w:spacing w:line="360" w:lineRule="auto"/>
        <w:rPr>
          <w:rFonts w:hint="eastAsia" w:asciiTheme="minorEastAsia" w:hAnsiTheme="minorEastAsia" w:eastAsiaTheme="minorEastAsia" w:cstheme="minorEastAsia"/>
          <w:sz w:val="24"/>
          <w:szCs w:val="24"/>
        </w:rPr>
      </w:pPr>
    </w:p>
    <w:p>
      <w:pPr>
        <w:spacing w:line="360" w:lineRule="auto"/>
        <w:outlineLvl w:val="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十三、其他约定</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13.1合同签署地：。</w:t>
      </w:r>
    </w:p>
    <w:p>
      <w:pPr>
        <w:spacing w:line="360" w:lineRule="auto"/>
        <w:rPr>
          <w:rFonts w:ascii="宋体" w:hAnsi="宋体"/>
          <w:color w:val="000000"/>
          <w:sz w:val="24"/>
        </w:rPr>
      </w:pPr>
      <w:r>
        <w:rPr>
          <w:rFonts w:hint="eastAsia" w:asciiTheme="minorEastAsia" w:hAnsiTheme="minorEastAsia" w:eastAsiaTheme="minorEastAsia" w:cstheme="minorEastAsia"/>
          <w:sz w:val="24"/>
          <w:szCs w:val="24"/>
        </w:rPr>
        <w:t>13.</w:t>
      </w:r>
      <w:r>
        <w:rPr>
          <w:rFonts w:asciiTheme="minorEastAsia" w:hAnsiTheme="minorEastAsia" w:eastAsiaTheme="minorEastAsia" w:cstheme="minorEastAsia"/>
          <w:sz w:val="24"/>
          <w:szCs w:val="24"/>
        </w:rPr>
        <w:t>2</w:t>
      </w:r>
      <w:r>
        <w:rPr>
          <w:rFonts w:hint="eastAsia" w:ascii="宋体" w:hAnsi="宋体"/>
          <w:color w:val="000000"/>
          <w:sz w:val="24"/>
        </w:rPr>
        <w:t>本合同</w:t>
      </w:r>
      <w:r>
        <w:rPr>
          <w:rFonts w:hint="eastAsia" w:asciiTheme="minorEastAsia" w:hAnsiTheme="minorEastAsia" w:eastAsiaTheme="minorEastAsia" w:cstheme="minorEastAsia"/>
          <w:sz w:val="24"/>
          <w:szCs w:val="24"/>
        </w:rPr>
        <w:t>附件一：《服务价格表》</w:t>
      </w:r>
      <w:r>
        <w:rPr>
          <w:rFonts w:hint="eastAsia" w:ascii="宋体" w:hAnsi="宋体"/>
          <w:color w:val="000000"/>
          <w:sz w:val="24"/>
        </w:rPr>
        <w:t>是该合同不可分割的部分，具有与该合同同等法律效力。</w:t>
      </w:r>
    </w:p>
    <w:p>
      <w:pPr>
        <w:widowControl/>
        <w:jc w:val="left"/>
        <w:rPr>
          <w:rFonts w:ascii="宋体" w:hAnsi="宋体" w:cs="宋体"/>
          <w:sz w:val="24"/>
        </w:rPr>
      </w:pPr>
      <w:r>
        <w:rPr>
          <w:rFonts w:ascii="宋体" w:hAnsi="宋体" w:cs="宋体"/>
          <w:sz w:val="24"/>
        </w:rPr>
        <w:br w:type="page"/>
      </w:r>
    </w:p>
    <w:p>
      <w:pPr>
        <w:spacing w:line="360" w:lineRule="auto"/>
        <w:rPr>
          <w:rFonts w:ascii="宋体" w:hAnsi="宋体" w:cs="宋体"/>
          <w:sz w:val="24"/>
        </w:rPr>
      </w:pPr>
      <w:r>
        <w:rPr>
          <w:rFonts w:hint="eastAsia" w:ascii="宋体" w:hAnsi="宋体" w:cs="宋体"/>
          <w:sz w:val="24"/>
        </w:rPr>
        <w:t>【以下无正文，为签署处】</w:t>
      </w:r>
    </w:p>
    <w:p>
      <w:pPr>
        <w:spacing w:line="360" w:lineRule="auto"/>
        <w:ind w:left="6470" w:leftChars="-95" w:hanging="6669" w:hangingChars="2779"/>
        <w:rPr>
          <w:rFonts w:ascii="宋体" w:hAnsi="宋体" w:cs="宋体"/>
          <w:sz w:val="24"/>
        </w:rPr>
      </w:pPr>
    </w:p>
    <w:p>
      <w:pPr>
        <w:spacing w:line="360" w:lineRule="auto"/>
        <w:rPr>
          <w:rFonts w:ascii="宋体" w:hAnsi="宋体" w:cs="宋体"/>
          <w:sz w:val="24"/>
        </w:rPr>
      </w:pPr>
    </w:p>
    <w:p>
      <w:pPr>
        <w:spacing w:line="360" w:lineRule="auto"/>
        <w:ind w:left="6470" w:leftChars="-95" w:hanging="6669" w:hangingChars="2779"/>
        <w:rPr>
          <w:rFonts w:ascii="宋体" w:hAnsi="宋体" w:cs="宋体"/>
          <w:sz w:val="24"/>
        </w:rPr>
      </w:pPr>
    </w:p>
    <w:p>
      <w:pPr>
        <w:spacing w:line="360" w:lineRule="auto"/>
        <w:ind w:left="6470" w:leftChars="-295" w:right="-420" w:rightChars="-200" w:hanging="7089" w:hangingChars="2954"/>
        <w:rPr>
          <w:rFonts w:ascii="宋体" w:hAnsi="宋体" w:cs="宋体"/>
          <w:sz w:val="24"/>
        </w:rPr>
      </w:pPr>
      <w:r>
        <w:rPr>
          <w:rFonts w:hint="eastAsia" w:ascii="宋体" w:hAnsi="宋体" w:cs="宋体"/>
          <w:sz w:val="24"/>
        </w:rPr>
        <w:t>甲 方（盖章）：                          乙方（盖章）：</w:t>
      </w:r>
    </w:p>
    <w:p>
      <w:pPr>
        <w:spacing w:line="360" w:lineRule="auto"/>
        <w:ind w:left="6470" w:leftChars="-295" w:right="-420" w:rightChars="-200" w:hanging="7089" w:hangingChars="2954"/>
        <w:rPr>
          <w:rFonts w:ascii="宋体" w:hAnsi="宋体" w:cs="宋体"/>
          <w:color w:val="252525"/>
          <w:sz w:val="24"/>
        </w:rPr>
      </w:pPr>
      <w:r>
        <w:rPr>
          <w:rFonts w:hint="eastAsia" w:ascii="宋体" w:hAnsi="宋体" w:cs="宋体"/>
          <w:color w:val="252525"/>
          <w:sz w:val="24"/>
        </w:rPr>
        <w:t>授权代表（签字）：                       授权代表（签字）：</w:t>
      </w:r>
    </w:p>
    <w:p>
      <w:pPr>
        <w:spacing w:line="360" w:lineRule="auto"/>
        <w:ind w:left="6470" w:leftChars="-295" w:right="-420" w:rightChars="-200" w:hanging="7089" w:hangingChars="2954"/>
        <w:rPr>
          <w:rFonts w:ascii="宋体" w:hAnsi="宋体" w:cs="宋体"/>
          <w:color w:val="252525"/>
          <w:sz w:val="24"/>
        </w:rPr>
      </w:pPr>
      <w:r>
        <w:rPr>
          <w:rFonts w:hint="eastAsia" w:ascii="宋体" w:hAnsi="宋体" w:cs="宋体"/>
          <w:color w:val="252525"/>
          <w:sz w:val="24"/>
        </w:rPr>
        <w:t>联系人：                                 联系人:</w:t>
      </w:r>
    </w:p>
    <w:p>
      <w:pPr>
        <w:spacing w:line="360" w:lineRule="auto"/>
        <w:ind w:left="6470" w:leftChars="-295" w:right="-420" w:rightChars="-200" w:hanging="7089" w:hangingChars="2954"/>
        <w:rPr>
          <w:rFonts w:ascii="宋体" w:hAnsi="宋体" w:cs="宋体"/>
          <w:color w:val="252525"/>
          <w:sz w:val="24"/>
        </w:rPr>
      </w:pPr>
      <w:r>
        <w:rPr>
          <w:rFonts w:hint="eastAsia" w:ascii="宋体" w:hAnsi="宋体" w:cs="宋体"/>
          <w:color w:val="252525"/>
          <w:sz w:val="24"/>
        </w:rPr>
        <w:t>电子邮件：                               电子邮件：</w:t>
      </w:r>
    </w:p>
    <w:p>
      <w:pPr>
        <w:spacing w:line="360" w:lineRule="auto"/>
        <w:ind w:left="6470" w:leftChars="-295" w:right="-420" w:rightChars="-200" w:hanging="7089" w:hangingChars="2954"/>
        <w:rPr>
          <w:rFonts w:ascii="宋体" w:hAnsi="宋体" w:cs="宋体"/>
          <w:color w:val="252525"/>
          <w:sz w:val="24"/>
        </w:rPr>
      </w:pPr>
      <w:r>
        <w:rPr>
          <w:rFonts w:hint="eastAsia" w:ascii="宋体" w:hAnsi="宋体" w:cs="宋体"/>
          <w:color w:val="252525"/>
          <w:sz w:val="24"/>
        </w:rPr>
        <w:t>联系电话：                               联系电话：</w:t>
      </w:r>
    </w:p>
    <w:p>
      <w:pPr>
        <w:spacing w:line="360" w:lineRule="auto"/>
        <w:ind w:left="6470" w:leftChars="-295" w:right="-420" w:rightChars="-200" w:hanging="7089" w:hangingChars="2954"/>
        <w:rPr>
          <w:rFonts w:ascii="宋体" w:hAnsi="宋体" w:cs="宋体"/>
          <w:sz w:val="24"/>
        </w:rPr>
      </w:pPr>
      <w:r>
        <w:rPr>
          <w:rFonts w:hint="eastAsia" w:ascii="宋体" w:hAnsi="宋体" w:cs="宋体"/>
          <w:color w:val="252525"/>
          <w:sz w:val="24"/>
        </w:rPr>
        <w:t>通讯地址：                               通讯地址：</w:t>
      </w:r>
    </w:p>
    <w:p>
      <w:pPr>
        <w:tabs>
          <w:tab w:val="left" w:pos="6921"/>
        </w:tabs>
        <w:spacing w:line="360" w:lineRule="auto"/>
        <w:ind w:left="6470" w:leftChars="-295" w:right="-420" w:rightChars="-200" w:hanging="7089" w:hangingChars="2954"/>
        <w:rPr>
          <w:rFonts w:hint="eastAsia"/>
          <w:lang w:val="en-US" w:eastAsia="zh-CN"/>
        </w:rPr>
      </w:pPr>
      <w:r>
        <w:rPr>
          <w:rFonts w:hint="eastAsia" w:ascii="宋体" w:hAnsi="宋体" w:cs="宋体"/>
          <w:color w:val="252525"/>
          <w:sz w:val="24"/>
        </w:rPr>
        <w:t xml:space="preserve">签署日期：      年   月   日             签署日期：      年  </w:t>
      </w:r>
      <w:r>
        <w:rPr>
          <w:rFonts w:hint="eastAsia" w:ascii="宋体" w:hAnsi="宋体" w:cs="宋体"/>
          <w:color w:val="252525"/>
          <w:sz w:val="24"/>
          <w:lang w:val="en-US" w:eastAsia="zh-CN"/>
        </w:rPr>
        <w:t xml:space="preserve"> </w:t>
      </w:r>
      <w:r>
        <w:rPr>
          <w:rFonts w:hint="eastAsia" w:ascii="宋体" w:hAnsi="宋体" w:cs="宋体"/>
          <w:color w:val="252525"/>
          <w:sz w:val="24"/>
        </w:rPr>
        <w:t xml:space="preserve"> 月</w:t>
      </w:r>
      <w:r>
        <w:rPr>
          <w:rFonts w:hint="eastAsia" w:ascii="宋体" w:hAnsi="宋体" w:cs="宋体"/>
          <w:color w:val="252525"/>
          <w:sz w:val="24"/>
          <w:lang w:val="en-US" w:eastAsia="zh-CN"/>
        </w:rPr>
        <w:t xml:space="preserve"> </w:t>
      </w:r>
      <w:r>
        <w:rPr>
          <w:rFonts w:hint="eastAsia" w:ascii="宋体" w:hAnsi="宋体" w:cs="宋体"/>
          <w:color w:val="252525"/>
          <w:sz w:val="24"/>
        </w:rPr>
        <w:t xml:space="preserve">   日 </w:t>
      </w:r>
    </w:p>
    <w:sectPr>
      <w:headerReference r:id="rId4" w:type="default"/>
      <w:footerReference r:id="rId5" w:type="default"/>
      <w:pgSz w:w="11906" w:h="16838"/>
      <w:pgMar w:top="1440" w:right="776" w:bottom="1440" w:left="147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lang w:val="en-US"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30884"/>
    <w:multiLevelType w:val="singleLevel"/>
    <w:tmpl w:val="C9730884"/>
    <w:lvl w:ilvl="0" w:tentative="0">
      <w:start w:val="1"/>
      <w:numFmt w:val="decimal"/>
      <w:suff w:val="nothing"/>
      <w:lvlText w:val="%1、"/>
      <w:lvlJc w:val="left"/>
    </w:lvl>
  </w:abstractNum>
  <w:abstractNum w:abstractNumId="1">
    <w:nsid w:val="CD42916A"/>
    <w:multiLevelType w:val="singleLevel"/>
    <w:tmpl w:val="CD42916A"/>
    <w:lvl w:ilvl="0" w:tentative="0">
      <w:start w:val="1"/>
      <w:numFmt w:val="decimal"/>
      <w:suff w:val="nothing"/>
      <w:lvlText w:val="%1、"/>
      <w:lvlJc w:val="left"/>
    </w:lvl>
  </w:abstractNum>
  <w:abstractNum w:abstractNumId="2">
    <w:nsid w:val="33221EE3"/>
    <w:multiLevelType w:val="singleLevel"/>
    <w:tmpl w:val="33221EE3"/>
    <w:lvl w:ilvl="0" w:tentative="0">
      <w:start w:val="1"/>
      <w:numFmt w:val="decimal"/>
      <w:suff w:val="nothing"/>
      <w:lvlText w:val="%1、"/>
      <w:lvlJc w:val="left"/>
    </w:lvl>
  </w:abstractNum>
  <w:abstractNum w:abstractNumId="3">
    <w:nsid w:val="3C9DDCA0"/>
    <w:multiLevelType w:val="singleLevel"/>
    <w:tmpl w:val="3C9DDCA0"/>
    <w:lvl w:ilvl="0" w:tentative="0">
      <w:start w:val="1"/>
      <w:numFmt w:val="upperLetter"/>
      <w:lvlText w:val="%1."/>
      <w:lvlJc w:val="left"/>
      <w:pPr>
        <w:tabs>
          <w:tab w:val="left" w:pos="312"/>
        </w:tabs>
      </w:pPr>
    </w:lvl>
  </w:abstractNum>
  <w:abstractNum w:abstractNumId="4">
    <w:nsid w:val="46EC7F0F"/>
    <w:multiLevelType w:val="multilevel"/>
    <w:tmpl w:val="46EC7F0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7450628"/>
    <w:multiLevelType w:val="singleLevel"/>
    <w:tmpl w:val="47450628"/>
    <w:lvl w:ilvl="0" w:tentative="0">
      <w:start w:val="1"/>
      <w:numFmt w:val="upperLetter"/>
      <w:lvlText w:val="%1."/>
      <w:lvlJc w:val="left"/>
      <w:pPr>
        <w:tabs>
          <w:tab w:val="left" w:pos="312"/>
        </w:tabs>
      </w:pPr>
    </w:lvl>
  </w:abstractNum>
  <w:abstractNum w:abstractNumId="6">
    <w:nsid w:val="57F35151"/>
    <w:multiLevelType w:val="multilevel"/>
    <w:tmpl w:val="57F35151"/>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AC48021"/>
    <w:multiLevelType w:val="singleLevel"/>
    <w:tmpl w:val="6AC48021"/>
    <w:lvl w:ilvl="0" w:tentative="0">
      <w:start w:val="1"/>
      <w:numFmt w:val="chineseCounting"/>
      <w:suff w:val="nothing"/>
      <w:lvlText w:val="%1、"/>
      <w:lvlJc w:val="left"/>
      <w:rPr>
        <w:rFonts w:hint="eastAsia"/>
      </w:rPr>
    </w:lvl>
  </w:abstractNum>
  <w:num w:numId="1">
    <w:abstractNumId w:val="7"/>
  </w:num>
  <w:num w:numId="2">
    <w:abstractNumId w:val="0"/>
  </w:num>
  <w:num w:numId="3">
    <w:abstractNumId w:val="3"/>
  </w:num>
  <w:num w:numId="4">
    <w:abstractNumId w:val="1"/>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MTViZWRkMGFjNTI0ODA0OTc3ZWZkZjlhMDM5ODcifQ=="/>
  </w:docVars>
  <w:rsids>
    <w:rsidRoot w:val="15B945E1"/>
    <w:rsid w:val="005E6171"/>
    <w:rsid w:val="00E677AB"/>
    <w:rsid w:val="041A6E38"/>
    <w:rsid w:val="158E5532"/>
    <w:rsid w:val="15B945E1"/>
    <w:rsid w:val="1B023F6C"/>
    <w:rsid w:val="20A66175"/>
    <w:rsid w:val="21245E36"/>
    <w:rsid w:val="26425089"/>
    <w:rsid w:val="28CC48DF"/>
    <w:rsid w:val="31BB4796"/>
    <w:rsid w:val="3BF008FB"/>
    <w:rsid w:val="3F1B5437"/>
    <w:rsid w:val="4173230B"/>
    <w:rsid w:val="62EB4005"/>
    <w:rsid w:val="78E06423"/>
    <w:rsid w:val="7F4A0024"/>
    <w:rsid w:val="F3DB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alloon Text"/>
    <w:basedOn w:val="1"/>
    <w:link w:val="13"/>
    <w:autoRedefine/>
    <w:qFormat/>
    <w:uiPriority w:val="0"/>
    <w:rPr>
      <w:rFonts w:ascii="宋体" w:eastAsia="宋体"/>
      <w:sz w:val="18"/>
      <w:szCs w:val="1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0"/>
    <w:rPr>
      <w:color w:val="0000FF"/>
      <w:u w:val="single"/>
    </w:rPr>
  </w:style>
  <w:style w:type="character" w:styleId="12">
    <w:name w:val="annotation reference"/>
    <w:basedOn w:val="10"/>
    <w:autoRedefine/>
    <w:qFormat/>
    <w:uiPriority w:val="0"/>
    <w:rPr>
      <w:sz w:val="21"/>
      <w:szCs w:val="21"/>
    </w:rPr>
  </w:style>
  <w:style w:type="character" w:customStyle="1" w:styleId="13">
    <w:name w:val="批注框文本 字符"/>
    <w:basedOn w:val="10"/>
    <w:link w:val="4"/>
    <w:autoRedefine/>
    <w:qFormat/>
    <w:uiPriority w:val="0"/>
    <w:rPr>
      <w:rFonts w:ascii="宋体" w:eastAsia="宋体" w:hAnsiTheme="minorHAnsi" w:cstheme="minorBidi"/>
      <w:kern w:val="2"/>
      <w:sz w:val="18"/>
      <w:szCs w:val="18"/>
    </w:rPr>
  </w:style>
  <w:style w:type="paragraph" w:styleId="14">
    <w:name w:val="List Paragraph"/>
    <w:basedOn w:val="1"/>
    <w:autoRedefine/>
    <w:unhideWhenUsed/>
    <w:qFormat/>
    <w:uiPriority w:val="99"/>
    <w:pPr>
      <w:ind w:firstLine="420" w:firstLineChars="200"/>
    </w:pPr>
  </w:style>
  <w:style w:type="paragraph" w:customStyle="1" w:styleId="15">
    <w:name w:val="_Style 22"/>
    <w:basedOn w:val="1"/>
    <w:next w:val="14"/>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298</Words>
  <Characters>1704</Characters>
  <Lines>14</Lines>
  <Paragraphs>3</Paragraphs>
  <TotalTime>8</TotalTime>
  <ScaleCrop>false</ScaleCrop>
  <LinksUpToDate>false</LinksUpToDate>
  <CharactersWithSpaces>1999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2024-04-19T14:03:00Z</dcterms:created>
  <dc:creator>！</dc:creator>
  <cp:lastModifiedBy>！</cp:lastModifiedBy>
  <dcterms:modified xsi:type="dcterms:W3CDTF">2024-04-24T07:51:34Z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577741907887469AA22CA2993039F919_13</vt:lpwstr>
  </property>
</Properties>
</file>